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191770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269240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7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3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1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 of the Securities Exchange Act of 1934</w:t>
      </w:r>
    </w:p>
    <w:p>
      <w:pPr>
        <w:spacing w:after="0" w:line="17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October 24, 2019</w:t>
      </w:r>
    </w:p>
    <w:p>
      <w:pPr>
        <w:spacing w:after="0" w:line="2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Universal Logistics Holdings, Inc.</w:t>
      </w:r>
    </w:p>
    <w:p>
      <w:pPr>
        <w:spacing w:after="0" w:line="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15" w:lineRule="exact"/>
        <w:rPr>
          <w:sz w:val="24"/>
          <w:szCs w:val="24"/>
          <w:color w:val="auto"/>
        </w:rPr>
      </w:pPr>
    </w:p>
    <w:tbl>
      <w:tblPr>
        <w:tblLayout w:type="fixed"/>
        <w:tblInd w:w="1080" w:type="dxa"/>
        <w:tblCellMar>
          <w:top w:w="0" w:type="dxa"/>
          <w:left w:w="0" w:type="dxa"/>
          <w:bottom w:w="0" w:type="dxa"/>
          <w:right w:w="0" w:type="dxa"/>
        </w:tblCellMar>
      </w:tblPr>
      <w:tr>
        <w:trPr>
          <w:trHeight w:val="227"/>
        </w:trPr>
        <w:tc>
          <w:tcPr>
            <w:tcW w:w="1880" w:type="dxa"/>
            <w:vAlign w:val="bottom"/>
          </w:tcPr>
          <w:p>
            <w:pPr>
              <w:jc w:val="center"/>
              <w:ind w:right="162"/>
              <w:spacing w:after="0"/>
              <w:rPr>
                <w:sz w:val="20"/>
                <w:szCs w:val="20"/>
                <w:color w:val="auto"/>
              </w:rPr>
            </w:pPr>
            <w:r>
              <w:rPr>
                <w:rFonts w:ascii="Times New Roman" w:cs="Times New Roman" w:eastAsia="Times New Roman" w:hAnsi="Times New Roman"/>
                <w:sz w:val="18"/>
                <w:szCs w:val="18"/>
                <w:b w:val="1"/>
                <w:bCs w:val="1"/>
                <w:color w:val="auto"/>
                <w:w w:val="98"/>
              </w:rPr>
              <w:t>Michigan</w:t>
            </w:r>
          </w:p>
        </w:tc>
        <w:tc>
          <w:tcPr>
            <w:tcW w:w="5640" w:type="dxa"/>
            <w:vAlign w:val="bottom"/>
          </w:tcPr>
          <w:p>
            <w:pPr>
              <w:jc w:val="center"/>
              <w:ind w:right="81"/>
              <w:spacing w:after="0"/>
              <w:rPr>
                <w:sz w:val="20"/>
                <w:szCs w:val="20"/>
                <w:color w:val="auto"/>
              </w:rPr>
            </w:pPr>
            <w:r>
              <w:rPr>
                <w:rFonts w:ascii="Times New Roman" w:cs="Times New Roman" w:eastAsia="Times New Roman" w:hAnsi="Times New Roman"/>
                <w:sz w:val="18"/>
                <w:szCs w:val="18"/>
                <w:b w:val="1"/>
                <w:bCs w:val="1"/>
                <w:color w:val="auto"/>
                <w:w w:val="99"/>
              </w:rPr>
              <w:t>0-51142</w:t>
            </w:r>
          </w:p>
        </w:tc>
        <w:tc>
          <w:tcPr>
            <w:tcW w:w="1480" w:type="dxa"/>
            <w:vAlign w:val="bottom"/>
          </w:tcPr>
          <w:p>
            <w:pPr>
              <w:jc w:val="center"/>
              <w:ind w:left="262"/>
              <w:spacing w:after="0"/>
              <w:rPr>
                <w:sz w:val="20"/>
                <w:szCs w:val="20"/>
                <w:color w:val="auto"/>
              </w:rPr>
            </w:pPr>
            <w:r>
              <w:rPr>
                <w:rFonts w:ascii="Times New Roman" w:cs="Times New Roman" w:eastAsia="Times New Roman" w:hAnsi="Times New Roman"/>
                <w:sz w:val="18"/>
                <w:szCs w:val="18"/>
                <w:b w:val="1"/>
                <w:bCs w:val="1"/>
                <w:color w:val="auto"/>
                <w:w w:val="98"/>
              </w:rPr>
              <w:t>38-3640097</w:t>
            </w:r>
          </w:p>
        </w:tc>
      </w:tr>
      <w:tr>
        <w:trPr>
          <w:trHeight w:val="149"/>
        </w:trPr>
        <w:tc>
          <w:tcPr>
            <w:tcW w:w="1880" w:type="dxa"/>
            <w:vAlign w:val="bottom"/>
          </w:tcPr>
          <w:p>
            <w:pPr>
              <w:jc w:val="center"/>
              <w:ind w:right="162"/>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w:t>
            </w:r>
          </w:p>
        </w:tc>
        <w:tc>
          <w:tcPr>
            <w:tcW w:w="5640" w:type="dxa"/>
            <w:vAlign w:val="bottom"/>
          </w:tcPr>
          <w:p>
            <w:pPr>
              <w:jc w:val="center"/>
              <w:ind w:right="81"/>
              <w:spacing w:after="0" w:line="149" w:lineRule="exact"/>
              <w:rPr>
                <w:sz w:val="20"/>
                <w:szCs w:val="20"/>
                <w:color w:val="auto"/>
              </w:rPr>
            </w:pPr>
            <w:r>
              <w:rPr>
                <w:rFonts w:ascii="Times New Roman" w:cs="Times New Roman" w:eastAsia="Times New Roman" w:hAnsi="Times New Roman"/>
                <w:sz w:val="14"/>
                <w:szCs w:val="14"/>
                <w:b w:val="1"/>
                <w:bCs w:val="1"/>
                <w:color w:val="auto"/>
              </w:rPr>
              <w:t>(Commission</w:t>
            </w:r>
          </w:p>
        </w:tc>
        <w:tc>
          <w:tcPr>
            <w:tcW w:w="1480" w:type="dxa"/>
            <w:vAlign w:val="bottom"/>
          </w:tcPr>
          <w:p>
            <w:pPr>
              <w:jc w:val="center"/>
              <w:ind w:left="242"/>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w:t>
            </w:r>
          </w:p>
        </w:tc>
      </w:tr>
      <w:tr>
        <w:trPr>
          <w:trHeight w:val="190"/>
        </w:trPr>
        <w:tc>
          <w:tcPr>
            <w:tcW w:w="1880" w:type="dxa"/>
            <w:vAlign w:val="bottom"/>
          </w:tcPr>
          <w:p>
            <w:pPr>
              <w:jc w:val="center"/>
              <w:ind w:right="162"/>
              <w:spacing w:after="0"/>
              <w:rPr>
                <w:sz w:val="20"/>
                <w:szCs w:val="20"/>
                <w:color w:val="auto"/>
              </w:rPr>
            </w:pPr>
            <w:r>
              <w:rPr>
                <w:rFonts w:ascii="Times New Roman" w:cs="Times New Roman" w:eastAsia="Times New Roman" w:hAnsi="Times New Roman"/>
                <w:sz w:val="14"/>
                <w:szCs w:val="14"/>
                <w:b w:val="1"/>
                <w:bCs w:val="1"/>
                <w:color w:val="auto"/>
              </w:rPr>
              <w:t>of incorporation)</w:t>
            </w:r>
          </w:p>
        </w:tc>
        <w:tc>
          <w:tcPr>
            <w:tcW w:w="5640" w:type="dxa"/>
            <w:vAlign w:val="bottom"/>
          </w:tcPr>
          <w:p>
            <w:pPr>
              <w:jc w:val="center"/>
              <w:ind w:right="81"/>
              <w:spacing w:after="0"/>
              <w:rPr>
                <w:sz w:val="20"/>
                <w:szCs w:val="20"/>
                <w:color w:val="auto"/>
              </w:rPr>
            </w:pPr>
            <w:r>
              <w:rPr>
                <w:rFonts w:ascii="Times New Roman" w:cs="Times New Roman" w:eastAsia="Times New Roman" w:hAnsi="Times New Roman"/>
                <w:sz w:val="14"/>
                <w:szCs w:val="14"/>
                <w:b w:val="1"/>
                <w:bCs w:val="1"/>
                <w:color w:val="auto"/>
              </w:rPr>
              <w:t>File Number)</w:t>
            </w:r>
          </w:p>
        </w:tc>
        <w:tc>
          <w:tcPr>
            <w:tcW w:w="1480" w:type="dxa"/>
            <w:vAlign w:val="bottom"/>
          </w:tcPr>
          <w:p>
            <w:pPr>
              <w:jc w:val="center"/>
              <w:ind w:left="262"/>
              <w:spacing w:after="0"/>
              <w:rPr>
                <w:sz w:val="20"/>
                <w:szCs w:val="20"/>
                <w:color w:val="auto"/>
              </w:rPr>
            </w:pPr>
            <w:r>
              <w:rPr>
                <w:rFonts w:ascii="Times New Roman" w:cs="Times New Roman" w:eastAsia="Times New Roman" w:hAnsi="Times New Roman"/>
                <w:sz w:val="14"/>
                <w:szCs w:val="14"/>
                <w:b w:val="1"/>
                <w:bCs w:val="1"/>
                <w:color w:val="auto"/>
              </w:rPr>
              <w:t>Identification No.)</w:t>
            </w:r>
          </w:p>
        </w:tc>
      </w:tr>
      <w:tr>
        <w:trPr>
          <w:trHeight w:val="390"/>
        </w:trPr>
        <w:tc>
          <w:tcPr>
            <w:tcW w:w="1880" w:type="dxa"/>
            <w:vAlign w:val="bottom"/>
          </w:tcPr>
          <w:p>
            <w:pPr>
              <w:spacing w:after="0"/>
              <w:rPr>
                <w:sz w:val="24"/>
                <w:szCs w:val="24"/>
                <w:color w:val="auto"/>
              </w:rPr>
            </w:pPr>
          </w:p>
        </w:tc>
        <w:tc>
          <w:tcPr>
            <w:tcW w:w="5640" w:type="dxa"/>
            <w:vAlign w:val="bottom"/>
          </w:tcPr>
          <w:p>
            <w:pPr>
              <w:jc w:val="center"/>
              <w:ind w:right="61"/>
              <w:spacing w:after="0"/>
              <w:rPr>
                <w:sz w:val="20"/>
                <w:szCs w:val="20"/>
                <w:color w:val="auto"/>
              </w:rPr>
            </w:pPr>
            <w:r>
              <w:rPr>
                <w:rFonts w:ascii="Times New Roman" w:cs="Times New Roman" w:eastAsia="Times New Roman" w:hAnsi="Times New Roman"/>
                <w:sz w:val="18"/>
                <w:szCs w:val="18"/>
                <w:b w:val="1"/>
                <w:bCs w:val="1"/>
                <w:color w:val="auto"/>
                <w:w w:val="99"/>
              </w:rPr>
              <w:t>12755 E. Nine Mile Road, Warren, Michigan</w:t>
            </w:r>
          </w:p>
        </w:tc>
        <w:tc>
          <w:tcPr>
            <w:tcW w:w="1480" w:type="dxa"/>
            <w:vAlign w:val="bottom"/>
          </w:tcPr>
          <w:p>
            <w:pPr>
              <w:spacing w:after="0"/>
              <w:rPr>
                <w:sz w:val="24"/>
                <w:szCs w:val="24"/>
                <w:color w:val="auto"/>
              </w:rPr>
            </w:pPr>
          </w:p>
        </w:tc>
      </w:tr>
      <w:tr>
        <w:trPr>
          <w:trHeight w:val="190"/>
        </w:trPr>
        <w:tc>
          <w:tcPr>
            <w:tcW w:w="1880" w:type="dxa"/>
            <w:vAlign w:val="bottom"/>
          </w:tcPr>
          <w:p>
            <w:pPr>
              <w:spacing w:after="0"/>
              <w:rPr>
                <w:sz w:val="16"/>
                <w:szCs w:val="16"/>
                <w:color w:val="auto"/>
              </w:rPr>
            </w:pPr>
          </w:p>
        </w:tc>
        <w:tc>
          <w:tcPr>
            <w:tcW w:w="5640" w:type="dxa"/>
            <w:vAlign w:val="bottom"/>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1480" w:type="dxa"/>
            <w:vAlign w:val="bottom"/>
          </w:tcPr>
          <w:p>
            <w:pPr>
              <w:spacing w:after="0"/>
              <w:rPr>
                <w:sz w:val="16"/>
                <w:szCs w:val="16"/>
                <w:color w:val="auto"/>
              </w:rPr>
            </w:pPr>
          </w:p>
        </w:tc>
      </w:tr>
      <w:tr>
        <w:trPr>
          <w:trHeight w:val="390"/>
        </w:trPr>
        <w:tc>
          <w:tcPr>
            <w:tcW w:w="1880" w:type="dxa"/>
            <w:vAlign w:val="bottom"/>
          </w:tcPr>
          <w:p>
            <w:pPr>
              <w:spacing w:after="0"/>
              <w:rPr>
                <w:sz w:val="24"/>
                <w:szCs w:val="24"/>
                <w:color w:val="auto"/>
              </w:rPr>
            </w:pPr>
          </w:p>
        </w:tc>
        <w:tc>
          <w:tcPr>
            <w:tcW w:w="5640" w:type="dxa"/>
            <w:vAlign w:val="bottom"/>
          </w:tcPr>
          <w:p>
            <w:pPr>
              <w:jc w:val="right"/>
              <w:ind w:right="2581"/>
              <w:spacing w:after="0"/>
              <w:rPr>
                <w:sz w:val="20"/>
                <w:szCs w:val="20"/>
                <w:color w:val="auto"/>
              </w:rPr>
            </w:pPr>
            <w:r>
              <w:rPr>
                <w:rFonts w:ascii="Times New Roman" w:cs="Times New Roman" w:eastAsia="Times New Roman" w:hAnsi="Times New Roman"/>
                <w:sz w:val="18"/>
                <w:szCs w:val="18"/>
                <w:b w:val="1"/>
                <w:bCs w:val="1"/>
                <w:color w:val="auto"/>
              </w:rPr>
              <w:t>48089</w:t>
            </w:r>
          </w:p>
        </w:tc>
        <w:tc>
          <w:tcPr>
            <w:tcW w:w="1480" w:type="dxa"/>
            <w:vAlign w:val="bottom"/>
          </w:tcPr>
          <w:p>
            <w:pPr>
              <w:spacing w:after="0"/>
              <w:rPr>
                <w:sz w:val="24"/>
                <w:szCs w:val="24"/>
                <w:color w:val="auto"/>
              </w:rPr>
            </w:pPr>
          </w:p>
        </w:tc>
      </w:tr>
      <w:tr>
        <w:trPr>
          <w:trHeight w:val="190"/>
        </w:trPr>
        <w:tc>
          <w:tcPr>
            <w:tcW w:w="1880" w:type="dxa"/>
            <w:vAlign w:val="bottom"/>
          </w:tcPr>
          <w:p>
            <w:pPr>
              <w:spacing w:after="0"/>
              <w:rPr>
                <w:sz w:val="16"/>
                <w:szCs w:val="16"/>
                <w:color w:val="auto"/>
              </w:rPr>
            </w:pPr>
          </w:p>
        </w:tc>
        <w:tc>
          <w:tcPr>
            <w:tcW w:w="5640" w:type="dxa"/>
            <w:vAlign w:val="bottom"/>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rPr>
              <w:t>(Zip Code)</w:t>
            </w:r>
          </w:p>
        </w:tc>
        <w:tc>
          <w:tcPr>
            <w:tcW w:w="1480" w:type="dxa"/>
            <w:vAlign w:val="bottom"/>
          </w:tcPr>
          <w:p>
            <w:pPr>
              <w:spacing w:after="0"/>
              <w:rPr>
                <w:sz w:val="16"/>
                <w:szCs w:val="16"/>
                <w:color w:val="auto"/>
              </w:rPr>
            </w:pPr>
          </w:p>
        </w:tc>
      </w:tr>
      <w:tr>
        <w:trPr>
          <w:trHeight w:val="390"/>
        </w:trPr>
        <w:tc>
          <w:tcPr>
            <w:tcW w:w="1880" w:type="dxa"/>
            <w:vAlign w:val="bottom"/>
          </w:tcPr>
          <w:p>
            <w:pPr>
              <w:spacing w:after="0"/>
              <w:rPr>
                <w:sz w:val="24"/>
                <w:szCs w:val="24"/>
                <w:color w:val="auto"/>
              </w:rPr>
            </w:pPr>
          </w:p>
        </w:tc>
        <w:tc>
          <w:tcPr>
            <w:tcW w:w="5640" w:type="dxa"/>
            <w:vAlign w:val="bottom"/>
          </w:tcPr>
          <w:p>
            <w:pPr>
              <w:jc w:val="right"/>
              <w:ind w:right="2241"/>
              <w:spacing w:after="0"/>
              <w:rPr>
                <w:sz w:val="20"/>
                <w:szCs w:val="20"/>
                <w:color w:val="auto"/>
              </w:rPr>
            </w:pPr>
            <w:r>
              <w:rPr>
                <w:rFonts w:ascii="Times New Roman" w:cs="Times New Roman" w:eastAsia="Times New Roman" w:hAnsi="Times New Roman"/>
                <w:sz w:val="18"/>
                <w:szCs w:val="18"/>
                <w:b w:val="1"/>
                <w:bCs w:val="1"/>
                <w:color w:val="auto"/>
              </w:rPr>
              <w:t>(586) 920-0100</w:t>
            </w:r>
          </w:p>
        </w:tc>
        <w:tc>
          <w:tcPr>
            <w:tcW w:w="1480" w:type="dxa"/>
            <w:vAlign w:val="bottom"/>
          </w:tcPr>
          <w:p>
            <w:pPr>
              <w:spacing w:after="0"/>
              <w:rPr>
                <w:sz w:val="24"/>
                <w:szCs w:val="24"/>
                <w:color w:val="auto"/>
              </w:rPr>
            </w:pPr>
          </w:p>
        </w:tc>
      </w:tr>
      <w:tr>
        <w:trPr>
          <w:trHeight w:val="190"/>
        </w:trPr>
        <w:tc>
          <w:tcPr>
            <w:tcW w:w="1880" w:type="dxa"/>
            <w:vAlign w:val="bottom"/>
          </w:tcPr>
          <w:p>
            <w:pPr>
              <w:spacing w:after="0"/>
              <w:rPr>
                <w:sz w:val="16"/>
                <w:szCs w:val="16"/>
                <w:color w:val="auto"/>
              </w:rPr>
            </w:pPr>
          </w:p>
        </w:tc>
        <w:tc>
          <w:tcPr>
            <w:tcW w:w="5640" w:type="dxa"/>
            <w:vAlign w:val="bottom"/>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tc>
        <w:tc>
          <w:tcPr>
            <w:tcW w:w="1480" w:type="dxa"/>
            <w:vAlign w:val="bottom"/>
          </w:tcPr>
          <w:p>
            <w:pPr>
              <w:spacing w:after="0"/>
              <w:rPr>
                <w:sz w:val="16"/>
                <w:szCs w:val="16"/>
                <w:color w:val="auto"/>
              </w:rPr>
            </w:pPr>
          </w:p>
        </w:tc>
      </w:tr>
      <w:tr>
        <w:trPr>
          <w:trHeight w:val="365"/>
        </w:trPr>
        <w:tc>
          <w:tcPr>
            <w:tcW w:w="1880" w:type="dxa"/>
            <w:vAlign w:val="bottom"/>
          </w:tcPr>
          <w:p>
            <w:pPr>
              <w:spacing w:after="0"/>
              <w:rPr>
                <w:sz w:val="24"/>
                <w:szCs w:val="24"/>
                <w:color w:val="auto"/>
              </w:rPr>
            </w:pPr>
          </w:p>
        </w:tc>
        <w:tc>
          <w:tcPr>
            <w:tcW w:w="5640" w:type="dxa"/>
            <w:vAlign w:val="bottom"/>
          </w:tcPr>
          <w:p>
            <w:pPr>
              <w:jc w:val="center"/>
              <w:ind w:right="61"/>
              <w:spacing w:after="0"/>
              <w:rPr>
                <w:sz w:val="20"/>
                <w:szCs w:val="20"/>
                <w:color w:val="auto"/>
              </w:rPr>
            </w:pPr>
            <w:r>
              <w:rPr>
                <w:rFonts w:ascii="Times New Roman" w:cs="Times New Roman" w:eastAsia="Times New Roman" w:hAnsi="Times New Roman"/>
                <w:sz w:val="14"/>
                <w:szCs w:val="14"/>
                <w:b w:val="1"/>
                <w:bCs w:val="1"/>
                <w:color w:val="auto"/>
              </w:rPr>
              <w:t>(Former name, former address and former fiscal year, if changed since last report)</w:t>
            </w:r>
          </w:p>
        </w:tc>
        <w:tc>
          <w:tcPr>
            <w:tcW w:w="1480" w:type="dxa"/>
            <w:vAlign w:val="bottom"/>
          </w:tcPr>
          <w:p>
            <w:pPr>
              <w:spacing w:after="0"/>
              <w:rPr>
                <w:sz w:val="24"/>
                <w:szCs w:val="24"/>
                <w:color w:val="auto"/>
              </w:rPr>
            </w:pPr>
          </w:p>
        </w:tc>
      </w:tr>
    </w:tbl>
    <w:p>
      <w:pPr>
        <w:spacing w:after="0" w:line="181" w:lineRule="exact"/>
        <w:rPr>
          <w:sz w:val="24"/>
          <w:szCs w:val="24"/>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54"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Securities registered pursuant to Section 12(b) of the Act:</w:t>
            </w:r>
          </w:p>
        </w:tc>
        <w:tc>
          <w:tcPr>
            <w:tcW w:w="2520" w:type="dxa"/>
            <w:vAlign w:val="bottom"/>
          </w:tcPr>
          <w:p>
            <w:pPr>
              <w:spacing w:after="0"/>
              <w:rPr>
                <w:sz w:val="18"/>
                <w:szCs w:val="18"/>
                <w:color w:val="auto"/>
              </w:rPr>
            </w:pPr>
          </w:p>
        </w:tc>
        <w:tc>
          <w:tcPr>
            <w:tcW w:w="4380" w:type="dxa"/>
            <w:vAlign w:val="bottom"/>
          </w:tcPr>
          <w:p>
            <w:pPr>
              <w:spacing w:after="0"/>
              <w:rPr>
                <w:sz w:val="18"/>
                <w:szCs w:val="18"/>
                <w:color w:val="auto"/>
              </w:rPr>
            </w:pPr>
          </w:p>
        </w:tc>
      </w:tr>
      <w:tr>
        <w:trPr>
          <w:trHeight w:val="234"/>
        </w:trPr>
        <w:tc>
          <w:tcPr>
            <w:tcW w:w="452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5"/>
              </w:rPr>
              <w:t>Title of each class</w:t>
            </w:r>
          </w:p>
        </w:tc>
        <w:tc>
          <w:tcPr>
            <w:tcW w:w="252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w w:val="96"/>
              </w:rPr>
              <w:t>Trading Symbol(s)</w:t>
            </w:r>
          </w:p>
        </w:tc>
        <w:tc>
          <w:tcPr>
            <w:tcW w:w="43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6"/>
              </w:rPr>
              <w:t>Name of each exchange on which registered</w:t>
            </w:r>
          </w:p>
        </w:tc>
      </w:tr>
      <w:tr>
        <w:trPr>
          <w:trHeight w:val="27"/>
        </w:trPr>
        <w:tc>
          <w:tcPr>
            <w:tcW w:w="4520" w:type="dxa"/>
            <w:vAlign w:val="bottom"/>
            <w:tcBorders>
              <w:bottom w:val="single" w:sz="8" w:color="auto"/>
            </w:tcBorders>
          </w:tcPr>
          <w:p>
            <w:pPr>
              <w:spacing w:after="0"/>
              <w:rPr>
                <w:sz w:val="2"/>
                <w:szCs w:val="2"/>
                <w:color w:val="auto"/>
              </w:rPr>
            </w:pPr>
          </w:p>
        </w:tc>
        <w:tc>
          <w:tcPr>
            <w:tcW w:w="2520" w:type="dxa"/>
            <w:vAlign w:val="bottom"/>
            <w:tcBorders>
              <w:bottom w:val="single" w:sz="8" w:color="auto"/>
            </w:tcBorders>
          </w:tcPr>
          <w:p>
            <w:pPr>
              <w:spacing w:after="0"/>
              <w:rPr>
                <w:sz w:val="2"/>
                <w:szCs w:val="2"/>
                <w:color w:val="auto"/>
              </w:rPr>
            </w:pPr>
          </w:p>
        </w:tc>
        <w:tc>
          <w:tcPr>
            <w:tcW w:w="4380" w:type="dxa"/>
            <w:vAlign w:val="bottom"/>
            <w:tcBorders>
              <w:bottom w:val="single" w:sz="8" w:color="auto"/>
            </w:tcBorders>
          </w:tcPr>
          <w:p>
            <w:pPr>
              <w:spacing w:after="0"/>
              <w:rPr>
                <w:sz w:val="2"/>
                <w:szCs w:val="2"/>
                <w:color w:val="auto"/>
              </w:rPr>
            </w:pPr>
          </w:p>
        </w:tc>
      </w:tr>
      <w:tr>
        <w:trPr>
          <w:trHeight w:val="228"/>
        </w:trPr>
        <w:tc>
          <w:tcPr>
            <w:tcW w:w="452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6"/>
              </w:rPr>
              <w:t>Common Stock, no par value</w:t>
            </w:r>
          </w:p>
        </w:tc>
        <w:tc>
          <w:tcPr>
            <w:tcW w:w="2520" w:type="dxa"/>
            <w:vAlign w:val="bottom"/>
          </w:tcPr>
          <w:p>
            <w:pPr>
              <w:jc w:val="center"/>
              <w:ind w:right="70"/>
              <w:spacing w:after="0"/>
              <w:rPr>
                <w:sz w:val="20"/>
                <w:szCs w:val="20"/>
                <w:color w:val="auto"/>
              </w:rPr>
            </w:pPr>
            <w:r>
              <w:rPr>
                <w:rFonts w:ascii="Times New Roman" w:cs="Times New Roman" w:eastAsia="Times New Roman" w:hAnsi="Times New Roman"/>
                <w:sz w:val="18"/>
                <w:szCs w:val="18"/>
                <w:color w:val="auto"/>
                <w:w w:val="97"/>
              </w:rPr>
              <w:t>ULH</w:t>
            </w:r>
          </w:p>
        </w:tc>
        <w:tc>
          <w:tcPr>
            <w:tcW w:w="43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6"/>
              </w:rPr>
              <w:t>The NASDAQ Stock Market LLC</w:t>
            </w:r>
          </w:p>
        </w:tc>
      </w:tr>
    </w:tbl>
    <w:p>
      <w:pPr>
        <w:spacing w:after="0" w:line="166" w:lineRule="exact"/>
        <w:rPr>
          <w:sz w:val="24"/>
          <w:szCs w:val="24"/>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5" w:lineRule="exact"/>
        <w:rPr>
          <w:sz w:val="24"/>
          <w:szCs w:val="24"/>
          <w:color w:val="auto"/>
        </w:rPr>
      </w:pPr>
    </w:p>
    <w:p>
      <w:pPr>
        <w:spacing w:after="0" w:line="207" w:lineRule="exact"/>
        <w:tabs>
          <w:tab w:leader="none" w:pos="2320" w:val="left"/>
        </w:tabs>
        <w:rPr>
          <w:sz w:val="20"/>
          <w:szCs w:val="20"/>
          <w:color w:val="auto"/>
        </w:rPr>
      </w:pPr>
      <w:r>
        <w:rPr>
          <w:rFonts w:ascii="Times New Roman" w:cs="Times New Roman" w:eastAsia="Times New Roman" w:hAnsi="Times New Roman"/>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146" w:lineRule="exact"/>
        <w:rPr>
          <w:sz w:val="24"/>
          <w:szCs w:val="24"/>
          <w:color w:val="auto"/>
        </w:rPr>
      </w:pPr>
    </w:p>
    <w:p>
      <w:pPr>
        <w:ind w:right="14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142240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185420</wp:posOffset>
            </wp:positionV>
            <wp:extent cx="72466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292735</wp:posOffset>
            </wp:positionV>
            <wp:extent cx="7289165"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592" w:right="2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2.02 Results of Operations and Financial Condition.</w:t>
      </w:r>
    </w:p>
    <w:p>
      <w:pPr>
        <w:spacing w:after="0" w:line="121"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On October 24, 2019, the Company issued a press release announcing the Company's financial and operating results for the thirteen weeks and thirty-nine weeks ended September 28, 2019, a copy of which is furnished as Exhibit 99.1 to this Form 8-K.</w:t>
      </w:r>
    </w:p>
    <w:p>
      <w:pPr>
        <w:spacing w:after="0" w:line="2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121"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On October 24, 2019, the Company issued a press release announcing that the Company’s Board of Directors declared its fourth quarter cash dividend of $0.105 per share of common stock. The dividend is payable on January 2, 2020 to shareholders of record on December 2, 2019. A copy of the press release is furnished as Exhibit 99.1 to this Form 8-K.</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Exhibits.</w:t>
      </w:r>
    </w:p>
    <w:p>
      <w:pPr>
        <w:spacing w:after="0" w:line="225" w:lineRule="exact"/>
        <w:rPr>
          <w:sz w:val="20"/>
          <w:szCs w:val="20"/>
          <w:color w:val="auto"/>
        </w:rPr>
      </w:pPr>
    </w:p>
    <w:p>
      <w:pPr>
        <w:spacing w:after="0"/>
        <w:tabs>
          <w:tab w:leader="none" w:pos="1200" w:val="left"/>
        </w:tabs>
        <w:rPr>
          <w:sz w:val="20"/>
          <w:szCs w:val="20"/>
          <w:color w:val="auto"/>
        </w:rPr>
      </w:pPr>
      <w:r>
        <w:rPr>
          <w:rFonts w:ascii="Times New Roman" w:cs="Times New Roman" w:eastAsia="Times New Roman" w:hAnsi="Times New Roman"/>
          <w:sz w:val="18"/>
          <w:szCs w:val="18"/>
          <w:u w:val="single" w:color="auto"/>
          <w:color w:val="auto"/>
        </w:rPr>
        <w:t>Exhibit No.</w:t>
      </w:r>
      <w:r>
        <w:rPr>
          <w:sz w:val="20"/>
          <w:szCs w:val="20"/>
          <w:color w:val="auto"/>
        </w:rPr>
        <w:tab/>
      </w:r>
      <w:r>
        <w:rPr>
          <w:rFonts w:ascii="Times New Roman" w:cs="Times New Roman" w:eastAsia="Times New Roman" w:hAnsi="Times New Roman"/>
          <w:sz w:val="17"/>
          <w:szCs w:val="17"/>
          <w:u w:val="single" w:color="auto"/>
          <w:color w:val="auto"/>
        </w:rPr>
        <w:t>Description</w:t>
      </w:r>
    </w:p>
    <w:p>
      <w:pPr>
        <w:spacing w:after="0" w:line="225" w:lineRule="exact"/>
        <w:rPr>
          <w:sz w:val="20"/>
          <w:szCs w:val="20"/>
          <w:color w:val="auto"/>
        </w:rPr>
      </w:pPr>
    </w:p>
    <w:p>
      <w:pPr>
        <w:spacing w:after="0"/>
        <w:tabs>
          <w:tab w:leader="none" w:pos="1200" w:val="left"/>
        </w:tabs>
        <w:rPr>
          <w:rFonts w:ascii="Times New Roman" w:cs="Times New Roman" w:eastAsia="Times New Roman" w:hAnsi="Times New Roman"/>
          <w:sz w:val="17"/>
          <w:szCs w:val="17"/>
          <w:u w:val="single" w:color="auto"/>
          <w:color w:val="0000EE"/>
        </w:rPr>
      </w:pPr>
      <w:r>
        <w:rPr>
          <w:rFonts w:ascii="Times New Roman" w:cs="Times New Roman" w:eastAsia="Times New Roman" w:hAnsi="Times New Roman"/>
          <w:sz w:val="18"/>
          <w:szCs w:val="18"/>
          <w:color w:val="auto"/>
        </w:rPr>
        <w:t>99.1</w:t>
      </w:r>
      <w:r>
        <w:rPr>
          <w:sz w:val="20"/>
          <w:szCs w:val="20"/>
          <w:color w:val="auto"/>
        </w:rPr>
        <w:tab/>
      </w:r>
      <w:hyperlink w:anchor="page4">
        <w:r>
          <w:rPr>
            <w:rFonts w:ascii="Times New Roman" w:cs="Times New Roman" w:eastAsia="Times New Roman" w:hAnsi="Times New Roman"/>
            <w:sz w:val="17"/>
            <w:szCs w:val="17"/>
            <w:u w:val="single" w:color="auto"/>
            <w:color w:val="0000EE"/>
          </w:rPr>
          <w:t>Press Release dated October 24, 2019</w:t>
        </w:r>
      </w:hyperlink>
      <w:r>
        <w:rPr>
          <w:rFonts w:ascii="Times New Roman" w:cs="Times New Roman" w:eastAsia="Times New Roman" w:hAnsi="Times New Roman"/>
          <w:sz w:val="17"/>
          <w:szCs w:val="17"/>
          <w:color w:val="000000"/>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210820</wp:posOffset>
            </wp:positionV>
            <wp:extent cx="728916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441" w:right="239" w:bottom="1440" w:gutter="0" w:footer="0" w:header="0"/>
        </w:sectPr>
      </w:pPr>
    </w:p>
    <w:bookmarkStart w:id="2" w:name="page3"/>
    <w:bookmarkEnd w:id="2"/>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82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UNIVERSAL LOGISTICS HOLDINGS, INC.</w:t>
            </w:r>
          </w:p>
        </w:tc>
      </w:tr>
      <w:tr>
        <w:trPr>
          <w:trHeight w:val="459"/>
        </w:trPr>
        <w:tc>
          <w:tcPr>
            <w:tcW w:w="5820" w:type="dxa"/>
            <w:vAlign w:val="bottom"/>
          </w:tcPr>
          <w:p>
            <w:pPr>
              <w:spacing w:after="0"/>
              <w:rPr>
                <w:sz w:val="20"/>
                <w:szCs w:val="20"/>
                <w:color w:val="auto"/>
              </w:rPr>
            </w:pPr>
            <w:r>
              <w:rPr>
                <w:rFonts w:ascii="Times New Roman" w:cs="Times New Roman" w:eastAsia="Times New Roman" w:hAnsi="Times New Roman"/>
                <w:sz w:val="18"/>
                <w:szCs w:val="18"/>
                <w:color w:val="auto"/>
              </w:rPr>
              <w:t>Date: October 24, 2019</w:t>
            </w:r>
          </w:p>
        </w:tc>
        <w:tc>
          <w:tcPr>
            <w:tcW w:w="50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rPr>
              <w:t>/s/ Steven Fitzpatrick</w:t>
            </w:r>
          </w:p>
        </w:tc>
      </w:tr>
      <w:tr>
        <w:trPr>
          <w:trHeight w:val="218"/>
        </w:trPr>
        <w:tc>
          <w:tcPr>
            <w:tcW w:w="58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Steven Fitzpatrick</w:t>
            </w:r>
          </w:p>
        </w:tc>
      </w:tr>
      <w:tr>
        <w:trPr>
          <w:trHeight w:val="234"/>
        </w:trPr>
        <w:tc>
          <w:tcPr>
            <w:tcW w:w="5820" w:type="dxa"/>
            <w:vAlign w:val="bottom"/>
          </w:tcPr>
          <w:p>
            <w:pPr>
              <w:spacing w:after="0"/>
              <w:rPr>
                <w:sz w:val="20"/>
                <w:szCs w:val="20"/>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Secretary</w:t>
            </w:r>
          </w:p>
        </w:tc>
      </w:tr>
    </w:tbl>
    <w:p>
      <w:pPr>
        <w:sectPr>
          <w:pgSz w:w="11900" w:h="16838" w:orient="portrait"/>
          <w:cols w:equalWidth="0" w:num="1">
            <w:col w:w="11260"/>
          </w:cols>
          <w:pgMar w:left="240" w:top="441" w:right="39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157480</wp:posOffset>
            </wp:positionV>
            <wp:extent cx="1577975" cy="7372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77975" cy="7372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Universal Logistics Holdings Reports Third Quarter 2019 Financial Results; Declares Dividend</w:t>
      </w:r>
    </w:p>
    <w:p>
      <w:pPr>
        <w:spacing w:after="0" w:line="200" w:lineRule="exact"/>
        <w:rPr>
          <w:sz w:val="20"/>
          <w:szCs w:val="20"/>
          <w:color w:val="auto"/>
        </w:rPr>
      </w:pPr>
    </w:p>
    <w:p>
      <w:pPr>
        <w:spacing w:after="0" w:line="232" w:lineRule="exact"/>
        <w:rPr>
          <w:sz w:val="20"/>
          <w:szCs w:val="20"/>
          <w:color w:val="auto"/>
        </w:rPr>
      </w:pPr>
    </w:p>
    <w:p>
      <w:pPr>
        <w:ind w:left="880" w:hanging="399"/>
        <w:spacing w:after="0"/>
        <w:tabs>
          <w:tab w:leader="none" w:pos="88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Third Quarter 2019 Operating Revenues: $375.5 million, 0.3% increase</w:t>
      </w:r>
    </w:p>
    <w:p>
      <w:pPr>
        <w:spacing w:after="0" w:line="25" w:lineRule="exact"/>
        <w:rPr>
          <w:rFonts w:ascii="Times New Roman" w:cs="Times New Roman" w:eastAsia="Times New Roman" w:hAnsi="Times New Roman"/>
          <w:sz w:val="20"/>
          <w:szCs w:val="20"/>
          <w:color w:val="auto"/>
        </w:rPr>
      </w:pPr>
    </w:p>
    <w:p>
      <w:pPr>
        <w:ind w:left="880" w:hanging="399"/>
        <w:spacing w:after="0"/>
        <w:tabs>
          <w:tab w:leader="none" w:pos="88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Third Quarter 2019 Operating Loss: $7.4 million, includes $27.0 million litigation charges</w:t>
      </w:r>
    </w:p>
    <w:p>
      <w:pPr>
        <w:ind w:left="880" w:hanging="399"/>
        <w:spacing w:after="0"/>
        <w:tabs>
          <w:tab w:leader="none" w:pos="88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Third Quarter 2019 EPS: $(0.30); includes $0.72 litigation charges</w:t>
      </w:r>
    </w:p>
    <w:p>
      <w:pPr>
        <w:ind w:left="880" w:hanging="399"/>
        <w:spacing w:after="0"/>
        <w:tabs>
          <w:tab w:leader="none" w:pos="88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Regular Quarterly Dividend: $0.105 per share</w:t>
      </w:r>
    </w:p>
    <w:p>
      <w:pPr>
        <w:spacing w:after="0" w:line="200" w:lineRule="exact"/>
        <w:rPr>
          <w:sz w:val="20"/>
          <w:szCs w:val="20"/>
          <w:color w:val="auto"/>
        </w:rPr>
      </w:pPr>
    </w:p>
    <w:p>
      <w:pPr>
        <w:spacing w:after="0" w:line="210"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Warren, MI – October 24, 2019 — Universal Logistics Holdings, Inc. (NASDAQ: ULH), a leading asset-light provider of customized transportation and logistics solutions, today reported consolidated third quarter 2019 net loss of $8.4 million, or $(0.30) per basic and diluted share, on total operating revenues of $375.5 million. This compares to net income of $15.1 million, or $0.53 per basic and diluted share, during third quarter 2018 on total operating revenues of $374.3 million. Included in the reported loss were pre-tax charges of $24.8 million for a previously disclosed legal settlement and an additional $2.2 million charge for unrelated ongoing litigation. Universal has also estimated the impact of the United Auto Workers (UAW) labor strike against General Motors to have reduced operating income by $4.0 million.</w:t>
      </w:r>
    </w:p>
    <w:p>
      <w:pPr>
        <w:spacing w:after="0" w:line="144"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UAW labor strike, which began on September 16, 2019, shuttered activity at Universal’s dedicated and value-added operations supporting General Motors across the United States. However, in order to maintain labor continuity Universal continued to pay employees during strike despite the lost production. The impact of the strike is estimated to have reduced Universal’s weekly operating income by $2.0 million per week during the two weeks the strike impacted the third quarter 2019. The UAW and General Motors announced a tentative agreement has been reached and, if ratified, the strike would end around October 25, 2019.</w:t>
      </w:r>
    </w:p>
    <w:p>
      <w:pPr>
        <w:spacing w:after="0" w:line="154"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In the third quarter 2019, Universal reported an operating loss of $7.4 million compared to operating income of $22.5 million in the same period last year. EBITDA, a non-GAAP measure, decreased $26.6 million during the third quarter 2019 to $11.6 million, compared to $38.3 million one year earlier. Both Universal’s reported operating loss and EBITDA during the third quarter 2019 include the litigation charges and estimated losses from the labor strike. As a percentage of operating revenue, Universal’s operating income margin and EBITDA margin as reported were (2.0)% and 3.1%, respectively. These metrics compare to 6.0% and 10.2%, respectively, in the third quarter of 2018. Operating income margin and EBITDA margin for the third quarter 2019 were both reduced 8.3% as a result of the impact of litigation charges and the estimated losses due to the labor strike.</w:t>
      </w:r>
    </w:p>
    <w:p>
      <w:pPr>
        <w:spacing w:after="0" w:line="10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Operating revenues from truckload services decreased $17.6 million, or 21.9%, to $62.6 million, compared to $80.2 million for the same period last year. Included in truckload revenues for the recently completed quarter were $6.4 million in separately identified fuel surcharges compared to $8.7 million during the same period last year. The decrease in truckload services reflects a 22.7% decrease in the number of loads hauled, which was partially offset by a 1.6% increase in average operating revenue per load, excluding fuel surcharges. During the third quarter 2019, Universal moved 56,510 loads compared to 73,117 during the same period last year.</w:t>
      </w:r>
    </w:p>
    <w:p>
      <w:pPr>
        <w:spacing w:after="0" w:line="154"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Revenues for the third quarter 2019 from brokerage services decreased $4.4 million, or 4.4%, to $94.4 million compared to $98.8 million one year earlier. The decrease is primarily due to a 9.1% decrease in the average operating revenue per load, which was partially offset by a 5.0% increase in the number of brokered loads moved. During the third quarter of 2019, Universal brokered 61,072 loads, compared to 58,147 loads during the same period last year, while the average operating revenue load fell from $1,643 per load in the third quarter 2018 to $1,494 during the same period this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47625</wp:posOffset>
            </wp:positionV>
            <wp:extent cx="7289165"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7" w:right="239" w:bottom="1440" w:gutter="0" w:footer="0" w:header="0"/>
        </w:sectPr>
      </w:pPr>
    </w:p>
    <w:bookmarkStart w:id="4" w:name="page5"/>
    <w:bookmarkEnd w:id="4"/>
    <w:p>
      <w:pPr>
        <w:jc w:val="both"/>
        <w:spacing w:after="0" w:line="245" w:lineRule="auto"/>
        <w:rPr>
          <w:sz w:val="20"/>
          <w:szCs w:val="20"/>
          <w:color w:val="auto"/>
        </w:rPr>
      </w:pPr>
      <w:r>
        <w:rPr>
          <w:rFonts w:ascii="Times New Roman" w:cs="Times New Roman" w:eastAsia="Times New Roman" w:hAnsi="Times New Roman"/>
          <w:sz w:val="20"/>
          <w:szCs w:val="20"/>
          <w:color w:val="auto"/>
        </w:rPr>
        <w:t>Intermodal services revenues increased $27.3 million to $93.0 million in the third quarter 2019, up from $65.7 million during the same period last year. Included in intermodal revenues were $34.6 million of incremental revenue from acquired companies. During the third quarter 2019 intermodal fuel surcharges totaled $11.4 million, compared to $8.4 million during the same period last year. Intermodal services experienced increases in both the average operating revenue per load, excluding fuel surcharges, and in the number of loads hauled. During the third quarter 2019, Universal moved 154,600 intermodal loads, compared to 119,410 loads during the same period last year, while also increasing its average operating revenue per load, excluding fuel surcharges, by 7.3%.</w:t>
      </w:r>
    </w:p>
    <w:p>
      <w:pPr>
        <w:spacing w:after="0" w:line="18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Third quarter 2019 operating revenues from dedicated services decreased $3.5 million to $32.7 million compared to $36.2 million one year earlier. Dedicated services revenues included $3.6 million in separately identified fuel surcharges in the third quarter 2019 compared to $4.4 million during the same period last year. The decrease in operating revenues was primarily attributable to the impact the labor strike had on operations supporting General Motors.</w:t>
      </w:r>
    </w:p>
    <w:p>
      <w:pPr>
        <w:spacing w:after="0" w:line="180"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Revenues from value-added services decreased $0.7 million during the third quarter 2019 to $92.7 million. This compares to $93.4 million from value-added services one year earlier. Revenues from value-added operations supporting heavy-truck production were relatively flat on a year-over-year basis, growing $0.1 million. The overall decline in value-added revenues was primarily attributable to the halt in production at operations supporting passenger vehicles from the UAW labor strike.</w:t>
      </w:r>
    </w:p>
    <w:p>
      <w:pPr>
        <w:spacing w:after="0" w:line="180"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Universal’s transportation segment was negatively impacted by litigation charges recorded during the third quarter 2019, while the labor strike impacted its logistics segment. During the third quarter 2019, the transportation segment, which is primarily comprised of truckload, brokerage and intermodal services operations, reported an operating loss of $17.2 million, which included the $27.0 million in litigation charges. In the logistics segment, which includes value-added and dedicated services, third quarter 2019 income from operations decreased 6.7% to $9.8 million, including the estimated $4.0 million in losses related to the strike.</w:t>
      </w:r>
    </w:p>
    <w:p>
      <w:pPr>
        <w:spacing w:after="0" w:line="18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third quarter of 2019 proved to be very challenging for Universal,” stated Jeff Rogers, Universal’s Chief Executive Officer. “While navigating a soft freight environment, Universal’s third quarter was further impacted by the settlement of a personal injury case and then a labor strike at our largest customer. We are pleased that the UAW and GM have reached a tentative agreement, and we look forward to getting these employees back to work very soon. We have a lot of positive momentum at Universal. I remain confident in the resilience of our business model and that we have the right teams in place to continue executing our strategy.”</w:t>
      </w:r>
    </w:p>
    <w:p>
      <w:pPr>
        <w:spacing w:after="0" w:line="18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 of September 28, 2019, Universal held cash and cash equivalents totaling $6.5 million, and $9.1 million in marketable securities. Outstanding debt at the end of the third quarter 2019 was $388.8 million and capital expenditures during the quarter totaled $35.6 million.</w:t>
      </w:r>
    </w:p>
    <w:p>
      <w:pPr>
        <w:spacing w:after="0" w:line="200" w:lineRule="exact"/>
        <w:rPr>
          <w:sz w:val="20"/>
          <w:szCs w:val="20"/>
          <w:color w:val="auto"/>
        </w:rPr>
      </w:pPr>
    </w:p>
    <w:p>
      <w:pPr>
        <w:spacing w:after="0" w:line="208" w:lineRule="exact"/>
        <w:rPr>
          <w:sz w:val="20"/>
          <w:szCs w:val="20"/>
          <w:color w:val="auto"/>
        </w:rPr>
      </w:pPr>
    </w:p>
    <w:p>
      <w:pPr>
        <w:jc w:val="both"/>
        <w:ind w:right="20"/>
        <w:spacing w:after="0" w:line="269" w:lineRule="auto"/>
        <w:rPr>
          <w:sz w:val="20"/>
          <w:szCs w:val="20"/>
          <w:color w:val="auto"/>
        </w:rPr>
      </w:pPr>
      <w:r>
        <w:rPr>
          <w:rFonts w:ascii="Times New Roman" w:cs="Times New Roman" w:eastAsia="Times New Roman" w:hAnsi="Times New Roman"/>
          <w:sz w:val="20"/>
          <w:szCs w:val="20"/>
          <w:color w:val="auto"/>
        </w:rPr>
        <w:t>Universal Logistics Holdings, Inc. also announced today that its Board of Directors declared its fourth quarter cash dividend of $0.105 per share of common stock. The dividend is payable on January 2, 2020 to shareholders of record on December 2, 2019.</w:t>
      </w:r>
    </w:p>
    <w:p>
      <w:pPr>
        <w:spacing w:after="0" w:line="160"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20"/>
          <w:szCs w:val="20"/>
          <w:color w:val="auto"/>
        </w:rPr>
        <w:t>Universal calculates and reports selected financial metrics for purposes of our lending arrangements, and in an effort to isolate and exclude the impact of non-operating expenses related to our corporate development activities. These statistics are described in more detail below in the section captioned “Non-GAAP Financial Measures.”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43815</wp:posOffset>
            </wp:positionV>
            <wp:extent cx="7289165"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292" w:right="2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20"/>
          <w:szCs w:val="20"/>
          <w:b w:val="1"/>
          <w:bCs w:val="1"/>
          <w:color w:val="auto"/>
        </w:rPr>
        <w:t>Conference call:</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invite investors and analysts to our quarterly earnings conference call.</w:t>
      </w:r>
    </w:p>
    <w:p>
      <w:pPr>
        <w:spacing w:after="0" w:line="225" w:lineRule="exact"/>
        <w:rPr>
          <w:sz w:val="20"/>
          <w:szCs w:val="20"/>
          <w:color w:val="auto"/>
        </w:rPr>
      </w:pPr>
    </w:p>
    <w:p>
      <w:pPr>
        <w:jc w:val="center"/>
        <w:ind w:right="7200"/>
        <w:spacing w:after="0"/>
        <w:rPr>
          <w:sz w:val="20"/>
          <w:szCs w:val="20"/>
          <w:color w:val="auto"/>
        </w:rPr>
      </w:pPr>
      <w:r>
        <w:rPr>
          <w:rFonts w:ascii="Times New Roman" w:cs="Times New Roman" w:eastAsia="Times New Roman" w:hAnsi="Times New Roman"/>
          <w:sz w:val="19"/>
          <w:szCs w:val="19"/>
          <w:i w:val="1"/>
          <w:iCs w:val="1"/>
          <w:color w:val="auto"/>
        </w:rPr>
        <w:t>Quarterly Earnings Conference Call Dial-in Details:</w:t>
      </w:r>
    </w:p>
    <w:p>
      <w:pPr>
        <w:spacing w:after="0" w:line="119"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0"/>
          <w:szCs w:val="20"/>
          <w:b w:val="1"/>
          <w:bCs w:val="1"/>
          <w:color w:val="auto"/>
        </w:rPr>
        <w:t xml:space="preserve">Time: </w:t>
      </w:r>
      <w:r>
        <w:rPr>
          <w:rFonts w:ascii="Times New Roman" w:cs="Times New Roman" w:eastAsia="Times New Roman" w:hAnsi="Times New Roman"/>
          <w:sz w:val="20"/>
          <w:szCs w:val="20"/>
          <w:color w:val="auto"/>
        </w:rPr>
        <w:t>10:00 a.m. Eastern Time</w:t>
      </w:r>
    </w:p>
    <w:p>
      <w:pPr>
        <w:spacing w:after="0" w:line="6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0"/>
          <w:szCs w:val="20"/>
          <w:b w:val="1"/>
          <w:bCs w:val="1"/>
          <w:color w:val="auto"/>
        </w:rPr>
        <w:t xml:space="preserve">Date: </w:t>
      </w:r>
      <w:r>
        <w:rPr>
          <w:rFonts w:ascii="Times New Roman" w:cs="Times New Roman" w:eastAsia="Times New Roman" w:hAnsi="Times New Roman"/>
          <w:sz w:val="20"/>
          <w:szCs w:val="20"/>
          <w:color w:val="auto"/>
        </w:rPr>
        <w:t>Friday, October 25, 2019</w:t>
      </w:r>
    </w:p>
    <w:p>
      <w:pPr>
        <w:spacing w:after="0" w:line="8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0"/>
          <w:szCs w:val="20"/>
          <w:b w:val="1"/>
          <w:bCs w:val="1"/>
          <w:color w:val="auto"/>
        </w:rPr>
        <w:t xml:space="preserve">Call Toll Free: </w:t>
      </w:r>
      <w:r>
        <w:rPr>
          <w:rFonts w:ascii="Times New Roman" w:cs="Times New Roman" w:eastAsia="Times New Roman" w:hAnsi="Times New Roman"/>
          <w:sz w:val="20"/>
          <w:szCs w:val="20"/>
          <w:color w:val="auto"/>
        </w:rPr>
        <w:t>(866) 622-0924</w:t>
      </w:r>
    </w:p>
    <w:p>
      <w:pPr>
        <w:spacing w:after="0" w:line="6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0"/>
          <w:szCs w:val="20"/>
          <w:b w:val="1"/>
          <w:bCs w:val="1"/>
          <w:color w:val="auto"/>
        </w:rPr>
        <w:t xml:space="preserve">International Dial-in: </w:t>
      </w:r>
      <w:r>
        <w:rPr>
          <w:rFonts w:ascii="Times New Roman" w:cs="Times New Roman" w:eastAsia="Times New Roman" w:hAnsi="Times New Roman"/>
          <w:sz w:val="20"/>
          <w:szCs w:val="20"/>
          <w:color w:val="auto"/>
        </w:rPr>
        <w:t>+1 (660) 422-4956</w:t>
      </w:r>
    </w:p>
    <w:p>
      <w:pPr>
        <w:spacing w:after="0" w:line="6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0"/>
          <w:szCs w:val="20"/>
          <w:b w:val="1"/>
          <w:bCs w:val="1"/>
          <w:color w:val="auto"/>
        </w:rPr>
        <w:t xml:space="preserve">Conference ID: </w:t>
      </w:r>
      <w:r>
        <w:rPr>
          <w:rFonts w:ascii="Times New Roman" w:cs="Times New Roman" w:eastAsia="Times New Roman" w:hAnsi="Times New Roman"/>
          <w:sz w:val="21"/>
          <w:szCs w:val="21"/>
          <w:color w:val="auto"/>
        </w:rPr>
        <w:t>8395286</w:t>
      </w:r>
    </w:p>
    <w:p>
      <w:pPr>
        <w:spacing w:after="0" w:line="236"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20"/>
          <w:szCs w:val="20"/>
          <w:color w:val="auto"/>
        </w:rPr>
        <w:t xml:space="preserve">A replay of the conference call will be available beginning two hours after the call through November 22, 2019, by calling (855) 859-2056 (toll free) or +1 (404) 537-3406 (toll) and using conference ID 8395286. The call will also be available on </w:t>
      </w:r>
      <w:r>
        <w:rPr>
          <w:rFonts w:ascii="Times New Roman" w:cs="Times New Roman" w:eastAsia="Times New Roman" w:hAnsi="Times New Roman"/>
          <w:sz w:val="20"/>
          <w:szCs w:val="20"/>
          <w:u w:val="single" w:color="auto"/>
          <w:color w:val="auto"/>
        </w:rPr>
        <w:t>investors.universallogistics.com</w:t>
      </w:r>
      <w:r>
        <w:rPr>
          <w:rFonts w:ascii="Times New Roman" w:cs="Times New Roman" w:eastAsia="Times New Roman" w:hAnsi="Times New Roman"/>
          <w:sz w:val="20"/>
          <w:szCs w:val="20"/>
          <w:color w:val="auto"/>
        </w:rPr>
        <w:t>.</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Source: </w:t>
      </w:r>
      <w:r>
        <w:rPr>
          <w:rFonts w:ascii="Times New Roman" w:cs="Times New Roman" w:eastAsia="Times New Roman" w:hAnsi="Times New Roman"/>
          <w:sz w:val="20"/>
          <w:szCs w:val="20"/>
          <w:color w:val="auto"/>
        </w:rPr>
        <w:t>Universal Logistics Holdings, Inc.</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For Further Information:</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Steven Fitzpatrick, Investor Relations</w:t>
      </w:r>
    </w:p>
    <w:p>
      <w:pPr>
        <w:spacing w:after="0"/>
        <w:rPr>
          <w:sz w:val="20"/>
          <w:szCs w:val="20"/>
          <w:color w:val="auto"/>
        </w:rPr>
      </w:pPr>
      <w:r>
        <w:rPr>
          <w:rFonts w:ascii="Times New Roman" w:cs="Times New Roman" w:eastAsia="Times New Roman" w:hAnsi="Times New Roman"/>
          <w:sz w:val="20"/>
          <w:szCs w:val="20"/>
          <w:u w:val="single" w:color="auto"/>
          <w:color w:val="auto"/>
        </w:rPr>
        <w:t>SFitzpatrick@UniversalLogistics.com</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About Universal:</w:t>
      </w:r>
    </w:p>
    <w:p>
      <w:pPr>
        <w:spacing w:after="0" w:line="220"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Universal Logistics Holdings, Inc. is a leading asset-light provider of customized transportation and logistics solutions throughout the United States, and in Mexico, Canada and Colombia. We provide our customers with supply chain solutions that can be scaled to meet their changing demands and volumes. We offer our customers a broad array of services across their entire supply chain, including truckload, brokerage, intermodal, dedicated, and value-added services.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Forward Looking Statements</w:t>
      </w:r>
    </w:p>
    <w:p>
      <w:pPr>
        <w:spacing w:after="0" w:line="216"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i w:val="1"/>
          <w:iCs w:val="1"/>
          <w:color w:val="auto"/>
        </w:rPr>
        <w:t>Some of the statements contained in this press release might be considered forward-looking statements. These statements identify prospective information. Forward-looking statements can be identified by words such as: “expect,” “anticipate,” “intend,” “plan,” “goal,” “seek,” “believe,” “project,” “estimate,” “future,” “likely,” “may,” “should” and similar references to future periods. Forward-looking statements are based on information available at the time and/or management’s good faith belief with respect to future events, and are subject to risks and uncertainties that could cause actual performance or results to differ materially from those expressed in the statements. These forward-looking statements are subject to a number of factors that may cause actual results to differ materially from the expectations described. Additional information about the factors that may adversely affect these forward-looking statements is contained in the Company’s reports and filings with the Securities and Exchange Commission. The Company assumes no obligation to update forward-looking statements to reflect actual results, changes in assumptions or changes in other factors affecting forward-looking information except to the extent required by applicable securities laws.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52070</wp:posOffset>
            </wp:positionV>
            <wp:extent cx="728916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329" w:right="239" w:bottom="1440" w:gutter="0" w:footer="0" w:header="0"/>
        </w:sectPr>
      </w:pPr>
    </w:p>
    <w:bookmarkStart w:id="6" w:name="page7"/>
    <w:bookmarkEnd w:id="6"/>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UNIVERSAL LOGISTICS HOLDINGS, INC.</w:t>
      </w:r>
    </w:p>
    <w:p>
      <w:pPr>
        <w:spacing w:after="0" w:line="2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Unaudited Condensed Consolidated Statements of Income</w:t>
      </w:r>
    </w:p>
    <w:p>
      <w:pPr>
        <w:jc w:val="center"/>
        <w:ind w:right="20"/>
        <w:spacing w:after="0"/>
        <w:rPr>
          <w:sz w:val="20"/>
          <w:szCs w:val="20"/>
          <w:color w:val="auto"/>
        </w:rPr>
      </w:pPr>
      <w:r>
        <w:rPr>
          <w:rFonts w:ascii="Times New Roman" w:cs="Times New Roman" w:eastAsia="Times New Roman" w:hAnsi="Times New Roman"/>
          <w:sz w:val="20"/>
          <w:szCs w:val="20"/>
          <w:color w:val="auto"/>
        </w:rPr>
        <w:t>(In thousands, except per share data)</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4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140" w:type="dxa"/>
            <w:vAlign w:val="bottom"/>
            <w:gridSpan w:val="5"/>
          </w:tcPr>
          <w:p>
            <w:pPr>
              <w:jc w:val="right"/>
              <w:ind w:right="840"/>
              <w:spacing w:after="0"/>
              <w:rPr>
                <w:sz w:val="20"/>
                <w:szCs w:val="20"/>
                <w:color w:val="auto"/>
              </w:rPr>
            </w:pPr>
            <w:r>
              <w:rPr>
                <w:rFonts w:ascii="Times New Roman" w:cs="Times New Roman" w:eastAsia="Times New Roman" w:hAnsi="Times New Roman"/>
                <w:sz w:val="18"/>
                <w:szCs w:val="18"/>
                <w:b w:val="1"/>
                <w:bCs w:val="1"/>
                <w:color w:val="auto"/>
              </w:rPr>
              <w:t>Thirteen Weeks Ended</w:t>
            </w: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120" w:type="dxa"/>
            <w:vAlign w:val="bottom"/>
            <w:gridSpan w:val="5"/>
          </w:tcPr>
          <w:p>
            <w:pPr>
              <w:jc w:val="right"/>
              <w:ind w:right="700"/>
              <w:spacing w:after="0"/>
              <w:rPr>
                <w:sz w:val="20"/>
                <w:szCs w:val="20"/>
                <w:color w:val="auto"/>
              </w:rPr>
            </w:pPr>
            <w:r>
              <w:rPr>
                <w:rFonts w:ascii="Times New Roman" w:cs="Times New Roman" w:eastAsia="Times New Roman" w:hAnsi="Times New Roman"/>
                <w:sz w:val="18"/>
                <w:szCs w:val="18"/>
                <w:b w:val="1"/>
                <w:bCs w:val="1"/>
                <w:color w:val="auto"/>
              </w:rPr>
              <w:t>Thirty-nine Weeks Ended</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47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gridSpan w:val="2"/>
          </w:tcPr>
          <w:p>
            <w:pPr>
              <w:jc w:val="right"/>
              <w:ind w:right="420"/>
              <w:spacing w:after="0"/>
              <w:rPr>
                <w:sz w:val="20"/>
                <w:szCs w:val="20"/>
                <w:color w:val="auto"/>
              </w:rPr>
            </w:pPr>
            <w:r>
              <w:rPr>
                <w:rFonts w:ascii="Times New Roman" w:cs="Times New Roman" w:eastAsia="Times New Roman" w:hAnsi="Times New Roman"/>
                <w:sz w:val="18"/>
                <w:szCs w:val="18"/>
                <w:b w:val="1"/>
                <w:bCs w:val="1"/>
                <w:color w:val="auto"/>
                <w:w w:val="99"/>
              </w:rPr>
              <w:t>September 28,</w:t>
            </w:r>
          </w:p>
        </w:tc>
        <w:tc>
          <w:tcPr>
            <w:tcW w:w="14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82"/>
              <w:spacing w:after="0"/>
              <w:rPr>
                <w:sz w:val="20"/>
                <w:szCs w:val="20"/>
                <w:color w:val="auto"/>
              </w:rPr>
            </w:pPr>
            <w:r>
              <w:rPr>
                <w:rFonts w:ascii="Times New Roman" w:cs="Times New Roman" w:eastAsia="Times New Roman" w:hAnsi="Times New Roman"/>
                <w:sz w:val="18"/>
                <w:szCs w:val="18"/>
                <w:b w:val="1"/>
                <w:bCs w:val="1"/>
                <w:color w:val="auto"/>
              </w:rPr>
              <w:t>September 29,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560" w:type="dxa"/>
            <w:vAlign w:val="bottom"/>
            <w:tcBorders>
              <w:top w:val="single" w:sz="8" w:color="auto"/>
            </w:tcBorders>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w w:val="99"/>
              </w:rPr>
              <w:t>September 28,</w:t>
            </w: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ind w:right="110"/>
              <w:spacing w:after="0"/>
              <w:rPr>
                <w:sz w:val="20"/>
                <w:szCs w:val="20"/>
                <w:color w:val="auto"/>
              </w:rPr>
            </w:pPr>
            <w:r>
              <w:rPr>
                <w:rFonts w:ascii="Times New Roman" w:cs="Times New Roman" w:eastAsia="Times New Roman" w:hAnsi="Times New Roman"/>
                <w:sz w:val="18"/>
                <w:szCs w:val="18"/>
                <w:b w:val="1"/>
                <w:bCs w:val="1"/>
                <w:color w:val="auto"/>
              </w:rPr>
              <w:t>September 29,</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4760" w:type="dxa"/>
            <w:vAlign w:val="bottom"/>
            <w:tcBorders>
              <w:bottom w:val="single" w:sz="8" w:color="CFF0FC"/>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62"/>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Borders>
              <w:bottom w:val="single" w:sz="8" w:color="CFF0FC"/>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62"/>
              <w:spacing w:after="0"/>
              <w:rPr>
                <w:sz w:val="20"/>
                <w:szCs w:val="20"/>
                <w:color w:val="auto"/>
              </w:rPr>
            </w:pPr>
            <w:r>
              <w:rPr>
                <w:rFonts w:ascii="Times New Roman" w:cs="Times New Roman" w:eastAsia="Times New Roman" w:hAnsi="Times New Roman"/>
                <w:sz w:val="18"/>
                <w:szCs w:val="18"/>
                <w:b w:val="1"/>
                <w:bCs w:val="1"/>
                <w:color w:val="auto"/>
              </w:rPr>
              <w:t>2018</w:t>
            </w:r>
          </w:p>
        </w:tc>
        <w:tc>
          <w:tcPr>
            <w:tcW w:w="140" w:type="dxa"/>
            <w:vAlign w:val="bottom"/>
            <w:tcBorders>
              <w:bottom w:val="single" w:sz="8" w:color="CFF0FC"/>
            </w:tcBorders>
          </w:tcPr>
          <w:p>
            <w:pPr>
              <w:spacing w:after="0"/>
              <w:rPr>
                <w:sz w:val="20"/>
                <w:szCs w:val="20"/>
                <w:color w:val="auto"/>
              </w:rPr>
            </w:pPr>
          </w:p>
        </w:tc>
        <w:tc>
          <w:tcPr>
            <w:tcW w:w="100" w:type="dxa"/>
            <w:vAlign w:val="bottom"/>
            <w:tcBorders>
              <w:bottom w:val="single" w:sz="8" w:color="CFF0FC"/>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64"/>
              <w:spacing w:after="0"/>
              <w:rPr>
                <w:sz w:val="20"/>
                <w:szCs w:val="20"/>
                <w:color w:val="auto"/>
              </w:rPr>
            </w:pPr>
            <w:r>
              <w:rPr>
                <w:rFonts w:ascii="Times New Roman" w:cs="Times New Roman" w:eastAsia="Times New Roman" w:hAnsi="Times New Roman"/>
                <w:sz w:val="18"/>
                <w:szCs w:val="18"/>
                <w:b w:val="1"/>
                <w:bCs w:val="1"/>
                <w:color w:val="auto"/>
              </w:rPr>
              <w:t>2019</w:t>
            </w:r>
          </w:p>
        </w:tc>
        <w:tc>
          <w:tcPr>
            <w:tcW w:w="240" w:type="dxa"/>
            <w:vAlign w:val="bottom"/>
            <w:tcBorders>
              <w:bottom w:val="single" w:sz="8" w:color="CFF0FC"/>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70"/>
              <w:spacing w:after="0"/>
              <w:rPr>
                <w:sz w:val="20"/>
                <w:szCs w:val="20"/>
                <w:color w:val="auto"/>
              </w:rPr>
            </w:pPr>
            <w:r>
              <w:rPr>
                <w:rFonts w:ascii="Times New Roman" w:cs="Times New Roman" w:eastAsia="Times New Roman" w:hAnsi="Times New Roman"/>
                <w:sz w:val="18"/>
                <w:szCs w:val="18"/>
                <w:b w:val="1"/>
                <w:bCs w:val="1"/>
                <w:color w:val="auto"/>
              </w:rPr>
              <w:t>2018</w:t>
            </w:r>
          </w:p>
        </w:tc>
        <w:tc>
          <w:tcPr>
            <w:tcW w:w="100" w:type="dxa"/>
            <w:vAlign w:val="bottom"/>
            <w:tcBorders>
              <w:bottom w:val="single" w:sz="8" w:color="CFF0FC"/>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760" w:type="dxa"/>
            <w:vAlign w:val="bottom"/>
            <w:shd w:val="clear" w:color="auto" w:fill="CFF0FC"/>
          </w:tcPr>
          <w:p>
            <w:pPr>
              <w:spacing w:after="0"/>
              <w:rPr>
                <w:sz w:val="20"/>
                <w:szCs w:val="20"/>
                <w:color w:val="auto"/>
              </w:rPr>
            </w:pPr>
            <w:r>
              <w:rPr>
                <w:rFonts w:ascii="Times New Roman" w:cs="Times New Roman" w:eastAsia="Times New Roman" w:hAnsi="Times New Roman"/>
                <w:sz w:val="20"/>
                <w:szCs w:val="20"/>
                <w:color w:val="auto"/>
              </w:rPr>
              <w:t>Operating revenues:</w:t>
            </w: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13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Truckload services</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62,615</w:t>
            </w:r>
          </w:p>
        </w:tc>
        <w:tc>
          <w:tcPr>
            <w:tcW w:w="2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80,204</w:t>
            </w:r>
          </w:p>
        </w:tc>
        <w:tc>
          <w:tcPr>
            <w:tcW w:w="140" w:type="dxa"/>
            <w:vAlign w:val="bottom"/>
          </w:tcPr>
          <w:p>
            <w:pPr>
              <w:spacing w:after="0"/>
              <w:rPr>
                <w:sz w:val="21"/>
                <w:szCs w:val="21"/>
                <w:color w:val="auto"/>
              </w:rPr>
            </w:pPr>
          </w:p>
        </w:tc>
        <w:tc>
          <w:tcPr>
            <w:tcW w:w="2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193,133</w:t>
            </w:r>
          </w:p>
        </w:tc>
        <w:tc>
          <w:tcPr>
            <w:tcW w:w="24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240,053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Brokerage services</w:t>
            </w: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94,442</w:t>
            </w: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98,801</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269,680</w:t>
            </w: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269,446</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Intermodal services</w:t>
            </w: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93,022</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65,710</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278,043</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167,190</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Dedicated services</w:t>
            </w: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32,730</w:t>
            </w: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36,195</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105,618</w:t>
            </w: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106,915</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Borders>
              <w:bottom w:val="single" w:sz="8" w:color="CFF0FC"/>
            </w:tcBorders>
          </w:tcPr>
          <w:p>
            <w:pPr>
              <w:ind w:left="240"/>
              <w:spacing w:after="0"/>
              <w:rPr>
                <w:sz w:val="20"/>
                <w:szCs w:val="20"/>
                <w:color w:val="auto"/>
              </w:rPr>
            </w:pPr>
            <w:r>
              <w:rPr>
                <w:rFonts w:ascii="Times New Roman" w:cs="Times New Roman" w:eastAsia="Times New Roman" w:hAnsi="Times New Roman"/>
                <w:sz w:val="20"/>
                <w:szCs w:val="20"/>
                <w:color w:val="auto"/>
              </w:rPr>
              <w:t>Value-added services</w:t>
            </w:r>
          </w:p>
        </w:tc>
        <w:tc>
          <w:tcPr>
            <w:tcW w:w="14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92,676</w:t>
            </w:r>
          </w:p>
        </w:tc>
        <w:tc>
          <w:tcPr>
            <w:tcW w:w="220" w:type="dxa"/>
            <w:vAlign w:val="bottom"/>
            <w:tcBorders>
              <w:bottom w:val="single" w:sz="8" w:color="CFF0FC"/>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93,382</w:t>
            </w:r>
          </w:p>
        </w:tc>
        <w:tc>
          <w:tcPr>
            <w:tcW w:w="140" w:type="dxa"/>
            <w:vAlign w:val="bottom"/>
            <w:tcBorders>
              <w:bottom w:val="single" w:sz="8" w:color="CFF0FC"/>
            </w:tcBorders>
          </w:tcPr>
          <w:p>
            <w:pPr>
              <w:spacing w:after="0"/>
              <w:rPr>
                <w:sz w:val="21"/>
                <w:szCs w:val="21"/>
                <w:color w:val="auto"/>
              </w:rPr>
            </w:pPr>
          </w:p>
        </w:tc>
        <w:tc>
          <w:tcPr>
            <w:tcW w:w="100" w:type="dxa"/>
            <w:vAlign w:val="bottom"/>
            <w:tcBorders>
              <w:bottom w:val="single" w:sz="8" w:color="CFF0FC"/>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289,593</w:t>
            </w:r>
          </w:p>
        </w:tc>
        <w:tc>
          <w:tcPr>
            <w:tcW w:w="240" w:type="dxa"/>
            <w:vAlign w:val="bottom"/>
            <w:tcBorders>
              <w:bottom w:val="single" w:sz="8" w:color="CFF0FC"/>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291,726</w:t>
            </w:r>
          </w:p>
        </w:tc>
        <w:tc>
          <w:tcPr>
            <w:tcW w:w="10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760" w:type="dxa"/>
            <w:vAlign w:val="bottom"/>
            <w:shd w:val="clear" w:color="auto" w:fill="CFF0FC"/>
          </w:tcPr>
          <w:p>
            <w:pPr>
              <w:spacing w:after="0"/>
              <w:rPr>
                <w:sz w:val="20"/>
                <w:szCs w:val="20"/>
                <w:color w:val="auto"/>
              </w:rPr>
            </w:pPr>
            <w:r>
              <w:rPr>
                <w:rFonts w:ascii="Times New Roman" w:cs="Times New Roman" w:eastAsia="Times New Roman" w:hAnsi="Times New Roman"/>
                <w:sz w:val="20"/>
                <w:szCs w:val="20"/>
                <w:color w:val="auto"/>
              </w:rPr>
              <w:t>Total operating revenues</w:t>
            </w: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375,485</w:t>
            </w:r>
          </w:p>
        </w:tc>
        <w:tc>
          <w:tcPr>
            <w:tcW w:w="2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374,292</w:t>
            </w:r>
          </w:p>
        </w:tc>
        <w:tc>
          <w:tcPr>
            <w:tcW w:w="1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1,136,067</w:t>
            </w:r>
          </w:p>
        </w:tc>
        <w:tc>
          <w:tcPr>
            <w:tcW w:w="2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1,075,330</w:t>
            </w:r>
          </w:p>
        </w:tc>
        <w:tc>
          <w:tcPr>
            <w:tcW w:w="10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47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760" w:type="dxa"/>
            <w:vAlign w:val="bottom"/>
            <w:shd w:val="clear" w:color="auto" w:fill="CFF0FC"/>
          </w:tcPr>
          <w:p>
            <w:pPr>
              <w:spacing w:after="0"/>
              <w:rPr>
                <w:sz w:val="20"/>
                <w:szCs w:val="20"/>
                <w:color w:val="auto"/>
              </w:rPr>
            </w:pPr>
            <w:r>
              <w:rPr>
                <w:rFonts w:ascii="Times New Roman" w:cs="Times New Roman" w:eastAsia="Times New Roman" w:hAnsi="Times New Roman"/>
                <w:sz w:val="20"/>
                <w:szCs w:val="20"/>
                <w:color w:val="auto"/>
              </w:rPr>
              <w:t>Operating expenses:</w:t>
            </w: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Purchased transportation and equipment rent</w:t>
            </w: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183,902</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186,239</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539,584</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526,502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Direct personnel and related benefits</w:t>
            </w: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91,946</w:t>
            </w: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87,189</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278,763</w:t>
            </w: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260,548</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Operating supplies and expenses</w:t>
            </w: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30,465</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32,119</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91,972</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90,547</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Commission expense</w:t>
            </w: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7,991</w:t>
            </w: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9,653</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23,685</w:t>
            </w: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28,298</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Occupancy expense</w:t>
            </w: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8,380</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7,410</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27,523</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22,574</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General and administrative</w:t>
            </w: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11,435</w:t>
            </w: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7,750</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30,309</w:t>
            </w: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23,354</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Insurance and claims</w:t>
            </w: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29,912</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7,419</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41,215</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18,173</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Depreciation and amortization</w:t>
            </w:r>
          </w:p>
        </w:tc>
        <w:tc>
          <w:tcPr>
            <w:tcW w:w="14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18,807</w:t>
            </w:r>
          </w:p>
        </w:tc>
        <w:tc>
          <w:tcPr>
            <w:tcW w:w="220" w:type="dxa"/>
            <w:vAlign w:val="bottom"/>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13,983</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53,140</w:t>
            </w:r>
          </w:p>
        </w:tc>
        <w:tc>
          <w:tcPr>
            <w:tcW w:w="240" w:type="dxa"/>
            <w:vAlign w:val="bottom"/>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39,448</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760" w:type="dxa"/>
            <w:vAlign w:val="bottom"/>
            <w:tcBorders>
              <w:bottom w:val="single" w:sz="8" w:color="CFF0FC"/>
            </w:tcBorders>
          </w:tcPr>
          <w:p>
            <w:pPr>
              <w:ind w:left="480"/>
              <w:spacing w:after="0"/>
              <w:rPr>
                <w:sz w:val="20"/>
                <w:szCs w:val="20"/>
                <w:color w:val="auto"/>
              </w:rPr>
            </w:pPr>
            <w:r>
              <w:rPr>
                <w:rFonts w:ascii="Times New Roman" w:cs="Times New Roman" w:eastAsia="Times New Roman" w:hAnsi="Times New Roman"/>
                <w:sz w:val="20"/>
                <w:szCs w:val="20"/>
                <w:color w:val="auto"/>
              </w:rPr>
              <w:t>Total operating expenses</w:t>
            </w: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382,838</w:t>
            </w:r>
          </w:p>
        </w:tc>
        <w:tc>
          <w:tcPr>
            <w:tcW w:w="220" w:type="dxa"/>
            <w:vAlign w:val="bottom"/>
            <w:tcBorders>
              <w:bottom w:val="single" w:sz="8" w:color="CFF0FC"/>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351,762</w:t>
            </w:r>
          </w:p>
        </w:tc>
        <w:tc>
          <w:tcPr>
            <w:tcW w:w="140" w:type="dxa"/>
            <w:vAlign w:val="bottom"/>
            <w:tcBorders>
              <w:bottom w:val="single" w:sz="8" w:color="CFF0FC"/>
            </w:tcBorders>
          </w:tcPr>
          <w:p>
            <w:pPr>
              <w:spacing w:after="0"/>
              <w:rPr>
                <w:sz w:val="20"/>
                <w:szCs w:val="20"/>
                <w:color w:val="auto"/>
              </w:rPr>
            </w:pPr>
          </w:p>
        </w:tc>
        <w:tc>
          <w:tcPr>
            <w:tcW w:w="100" w:type="dxa"/>
            <w:vAlign w:val="bottom"/>
            <w:tcBorders>
              <w:bottom w:val="single" w:sz="8" w:color="CFF0FC"/>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1,086,191</w:t>
            </w:r>
          </w:p>
        </w:tc>
        <w:tc>
          <w:tcPr>
            <w:tcW w:w="240" w:type="dxa"/>
            <w:vAlign w:val="bottom"/>
            <w:tcBorders>
              <w:bottom w:val="single" w:sz="8" w:color="CFF0FC"/>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1,009,444</w:t>
            </w:r>
          </w:p>
        </w:tc>
        <w:tc>
          <w:tcPr>
            <w:tcW w:w="100" w:type="dxa"/>
            <w:vAlign w:val="bottom"/>
            <w:tcBorders>
              <w:bottom w:val="single" w:sz="8" w:color="CFF0FC"/>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76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20"/>
                <w:szCs w:val="20"/>
                <w:color w:val="auto"/>
              </w:rPr>
              <w:t>(Loss) income from operations</w:t>
            </w: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(7,353)</w:t>
            </w:r>
          </w:p>
        </w:tc>
        <w:tc>
          <w:tcPr>
            <w:tcW w:w="22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22,530</w:t>
            </w:r>
          </w:p>
        </w:tc>
        <w:tc>
          <w:tcPr>
            <w:tcW w:w="140" w:type="dxa"/>
            <w:vAlign w:val="bottom"/>
            <w:shd w:val="clear" w:color="auto" w:fill="CFF0FC"/>
          </w:tcPr>
          <w:p>
            <w:pPr>
              <w:spacing w:after="0"/>
              <w:rPr>
                <w:sz w:val="20"/>
                <w:szCs w:val="20"/>
                <w:color w:val="auto"/>
              </w:rPr>
            </w:pPr>
          </w:p>
        </w:tc>
        <w:tc>
          <w:tcPr>
            <w:tcW w:w="100" w:type="dxa"/>
            <w:vAlign w:val="bottom"/>
            <w:shd w:val="clear" w:color="auto" w:fill="CFF0FC"/>
          </w:tcPr>
          <w:p>
            <w:pPr>
              <w:spacing w:after="0"/>
              <w:rPr>
                <w:sz w:val="20"/>
                <w:szCs w:val="20"/>
                <w:color w:val="auto"/>
              </w:rPr>
            </w:pPr>
          </w:p>
        </w:tc>
        <w:tc>
          <w:tcPr>
            <w:tcW w:w="140" w:type="dxa"/>
            <w:vAlign w:val="bottom"/>
            <w:shd w:val="clear" w:color="auto" w:fill="CFF0FC"/>
          </w:tcPr>
          <w:p>
            <w:pPr>
              <w:spacing w:after="0"/>
              <w:rPr>
                <w:sz w:val="20"/>
                <w:szCs w:val="20"/>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49,876</w:t>
            </w:r>
          </w:p>
        </w:tc>
        <w:tc>
          <w:tcPr>
            <w:tcW w:w="2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65,886</w:t>
            </w:r>
          </w:p>
        </w:tc>
        <w:tc>
          <w:tcPr>
            <w:tcW w:w="10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spacing w:after="0"/>
              <w:rPr>
                <w:sz w:val="20"/>
                <w:szCs w:val="20"/>
                <w:color w:val="auto"/>
              </w:rPr>
            </w:pPr>
            <w:r>
              <w:rPr>
                <w:rFonts w:ascii="Times New Roman" w:cs="Times New Roman" w:eastAsia="Times New Roman" w:hAnsi="Times New Roman"/>
                <w:sz w:val="20"/>
                <w:szCs w:val="20"/>
                <w:color w:val="auto"/>
              </w:rPr>
              <w:t>Interest expense, net</w:t>
            </w:r>
          </w:p>
        </w:tc>
        <w:tc>
          <w:tcPr>
            <w:tcW w:w="140" w:type="dxa"/>
            <w:vAlign w:val="bottom"/>
          </w:tcPr>
          <w:p>
            <w:pPr>
              <w:spacing w:after="0"/>
              <w:rPr>
                <w:sz w:val="21"/>
                <w:szCs w:val="21"/>
                <w:color w:val="auto"/>
              </w:rPr>
            </w:pPr>
          </w:p>
        </w:tc>
        <w:tc>
          <w:tcPr>
            <w:tcW w:w="154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(4,077)</w:t>
            </w:r>
          </w:p>
        </w:tc>
        <w:tc>
          <w:tcPr>
            <w:tcW w:w="140" w:type="dxa"/>
            <w:vAlign w:val="bottom"/>
          </w:tcPr>
          <w:p>
            <w:pPr>
              <w:spacing w:after="0"/>
              <w:rPr>
                <w:sz w:val="21"/>
                <w:szCs w:val="21"/>
                <w:color w:val="auto"/>
              </w:rPr>
            </w:pPr>
          </w:p>
        </w:tc>
        <w:tc>
          <w:tcPr>
            <w:tcW w:w="146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(4,303)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6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(12,545)</w:t>
            </w:r>
          </w:p>
        </w:tc>
        <w:tc>
          <w:tcPr>
            <w:tcW w:w="120" w:type="dxa"/>
            <w:vAlign w:val="bottom"/>
          </w:tcPr>
          <w:p>
            <w:pPr>
              <w:spacing w:after="0"/>
              <w:rPr>
                <w:sz w:val="21"/>
                <w:szCs w:val="21"/>
                <w:color w:val="auto"/>
              </w:rPr>
            </w:pPr>
          </w:p>
        </w:tc>
        <w:tc>
          <w:tcPr>
            <w:tcW w:w="144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(9,810)</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spacing w:after="0"/>
              <w:rPr>
                <w:sz w:val="20"/>
                <w:szCs w:val="20"/>
                <w:color w:val="auto"/>
              </w:rPr>
            </w:pPr>
            <w:r>
              <w:rPr>
                <w:rFonts w:ascii="Times New Roman" w:cs="Times New Roman" w:eastAsia="Times New Roman" w:hAnsi="Times New Roman"/>
                <w:sz w:val="20"/>
                <w:szCs w:val="20"/>
                <w:color w:val="auto"/>
              </w:rPr>
              <w:t>Other non-operating income</w:t>
            </w:r>
          </w:p>
        </w:tc>
        <w:tc>
          <w:tcPr>
            <w:tcW w:w="14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163</w:t>
            </w:r>
          </w:p>
        </w:tc>
        <w:tc>
          <w:tcPr>
            <w:tcW w:w="220" w:type="dxa"/>
            <w:vAlign w:val="bottom"/>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1,746</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tcBorders>
              <w:bottom w:val="single" w:sz="8" w:color="auto"/>
            </w:tcBorders>
            <w:shd w:val="clear" w:color="auto" w:fill="CFF0FC"/>
          </w:tcPr>
          <w:p>
            <w:pPr>
              <w:spacing w:after="0"/>
              <w:rPr>
                <w:sz w:val="21"/>
                <w:szCs w:val="21"/>
                <w:color w:val="auto"/>
              </w:rPr>
            </w:pPr>
          </w:p>
        </w:tc>
        <w:tc>
          <w:tcPr>
            <w:tcW w:w="13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1,212</w:t>
            </w:r>
          </w:p>
        </w:tc>
        <w:tc>
          <w:tcPr>
            <w:tcW w:w="240" w:type="dxa"/>
            <w:vAlign w:val="bottom"/>
            <w:shd w:val="clear" w:color="auto" w:fill="CFF0FC"/>
          </w:tcPr>
          <w:p>
            <w:pPr>
              <w:spacing w:after="0"/>
              <w:rPr>
                <w:sz w:val="21"/>
                <w:szCs w:val="21"/>
                <w:color w:val="auto"/>
              </w:rPr>
            </w:pPr>
          </w:p>
        </w:tc>
        <w:tc>
          <w:tcPr>
            <w:tcW w:w="120" w:type="dxa"/>
            <w:vAlign w:val="bottom"/>
            <w:tcBorders>
              <w:bottom w:val="single" w:sz="8" w:color="auto"/>
            </w:tcBorders>
            <w:shd w:val="clear" w:color="auto" w:fill="CFF0FC"/>
          </w:tcPr>
          <w:p>
            <w:pPr>
              <w:spacing w:after="0"/>
              <w:rPr>
                <w:sz w:val="21"/>
                <w:szCs w:val="21"/>
                <w:color w:val="auto"/>
              </w:rPr>
            </w:pPr>
          </w:p>
        </w:tc>
        <w:tc>
          <w:tcPr>
            <w:tcW w:w="13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1,688</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4760" w:type="dxa"/>
            <w:vAlign w:val="bottom"/>
          </w:tcPr>
          <w:p>
            <w:pPr>
              <w:ind w:left="480"/>
              <w:spacing w:after="0"/>
              <w:rPr>
                <w:sz w:val="20"/>
                <w:szCs w:val="20"/>
                <w:color w:val="auto"/>
              </w:rPr>
            </w:pPr>
            <w:r>
              <w:rPr>
                <w:rFonts w:ascii="Times New Roman" w:cs="Times New Roman" w:eastAsia="Times New Roman" w:hAnsi="Times New Roman"/>
                <w:sz w:val="20"/>
                <w:szCs w:val="20"/>
                <w:color w:val="auto"/>
              </w:rPr>
              <w:t>Loss (income) before income taxes</w:t>
            </w:r>
          </w:p>
        </w:tc>
        <w:tc>
          <w:tcPr>
            <w:tcW w:w="14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(11,267)</w:t>
            </w: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19,973</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38,543</w:t>
            </w:r>
          </w:p>
        </w:tc>
        <w:tc>
          <w:tcPr>
            <w:tcW w:w="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57,764</w:t>
            </w: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spacing w:after="0"/>
              <w:rPr>
                <w:sz w:val="20"/>
                <w:szCs w:val="20"/>
                <w:color w:val="auto"/>
              </w:rPr>
            </w:pPr>
            <w:r>
              <w:rPr>
                <w:rFonts w:ascii="Times New Roman" w:cs="Times New Roman" w:eastAsia="Times New Roman" w:hAnsi="Times New Roman"/>
                <w:sz w:val="20"/>
                <w:szCs w:val="20"/>
                <w:color w:val="auto"/>
              </w:rPr>
              <w:t>Provision for income taxes</w:t>
            </w:r>
          </w:p>
        </w:tc>
        <w:tc>
          <w:tcPr>
            <w:tcW w:w="140" w:type="dxa"/>
            <w:vAlign w:val="bottom"/>
            <w:shd w:val="clear" w:color="auto" w:fill="CFF0FC"/>
          </w:tcPr>
          <w:p>
            <w:pPr>
              <w:spacing w:after="0"/>
              <w:rPr>
                <w:sz w:val="21"/>
                <w:szCs w:val="21"/>
                <w:color w:val="auto"/>
              </w:rPr>
            </w:pPr>
          </w:p>
        </w:tc>
        <w:tc>
          <w:tcPr>
            <w:tcW w:w="154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20"/>
                <w:szCs w:val="20"/>
                <w:color w:val="auto"/>
              </w:rPr>
              <w:t>(2,847)</w:t>
            </w: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4,918</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9,694</w:t>
            </w: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14,606</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60" w:type="dxa"/>
            <w:vAlign w:val="bottom"/>
            <w:vMerge w:val="restart"/>
          </w:tcPr>
          <w:p>
            <w:pPr>
              <w:ind w:left="480"/>
              <w:spacing w:after="0"/>
              <w:rPr>
                <w:sz w:val="20"/>
                <w:szCs w:val="20"/>
                <w:color w:val="auto"/>
              </w:rPr>
            </w:pPr>
            <w:r>
              <w:rPr>
                <w:rFonts w:ascii="Times New Roman" w:cs="Times New Roman" w:eastAsia="Times New Roman" w:hAnsi="Times New Roman"/>
                <w:sz w:val="20"/>
                <w:szCs w:val="20"/>
                <w:color w:val="auto"/>
              </w:rPr>
              <w:t>Net (loss) income</w:t>
            </w:r>
          </w:p>
        </w:tc>
        <w:tc>
          <w:tcPr>
            <w:tcW w:w="14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20" w:type="dxa"/>
            <w:vAlign w:val="bottom"/>
          </w:tcPr>
          <w:p>
            <w:pPr>
              <w:spacing w:after="0"/>
              <w:rPr>
                <w:sz w:val="24"/>
                <w:szCs w:val="24"/>
                <w:color w:val="auto"/>
              </w:rPr>
            </w:pPr>
          </w:p>
        </w:tc>
        <w:tc>
          <w:tcPr>
            <w:tcW w:w="4760" w:type="dxa"/>
            <w:vAlign w:val="bottom"/>
            <w:vMerge w:val="continue"/>
          </w:tcPr>
          <w:p>
            <w:pPr>
              <w:spacing w:after="0"/>
              <w:rPr>
                <w:sz w:val="24"/>
                <w:szCs w:val="24"/>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(8,420)</w:t>
            </w:r>
          </w:p>
        </w:tc>
        <w:tc>
          <w:tcPr>
            <w:tcW w:w="220" w:type="dxa"/>
            <w:vAlign w:val="bottom"/>
            <w:vMerge w:val="continue"/>
          </w:tcPr>
          <w:p>
            <w:pPr>
              <w:spacing w:after="0"/>
              <w:rPr>
                <w:sz w:val="24"/>
                <w:szCs w:val="24"/>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15,055</w:t>
            </w:r>
          </w:p>
        </w:tc>
        <w:tc>
          <w:tcPr>
            <w:tcW w:w="140" w:type="dxa"/>
            <w:vAlign w:val="bottom"/>
          </w:tcPr>
          <w:p>
            <w:pPr>
              <w:spacing w:after="0"/>
              <w:rPr>
                <w:sz w:val="24"/>
                <w:szCs w:val="24"/>
                <w:color w:val="auto"/>
              </w:rPr>
            </w:pPr>
          </w:p>
        </w:tc>
        <w:tc>
          <w:tcPr>
            <w:tcW w:w="24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28,849</w:t>
            </w:r>
          </w:p>
        </w:tc>
        <w:tc>
          <w:tcPr>
            <w:tcW w:w="240" w:type="dxa"/>
            <w:vAlign w:val="bottom"/>
          </w:tcPr>
          <w:p>
            <w:pPr>
              <w:spacing w:after="0"/>
              <w:rPr>
                <w:sz w:val="24"/>
                <w:szCs w:val="24"/>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43,158</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restart"/>
          </w:tcPr>
          <w:p>
            <w:pPr>
              <w:spacing w:after="0"/>
              <w:rPr>
                <w:sz w:val="19"/>
                <w:szCs w:val="19"/>
                <w:color w:val="auto"/>
              </w:rPr>
            </w:pPr>
          </w:p>
        </w:tc>
        <w:tc>
          <w:tcPr>
            <w:tcW w:w="476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320" w:type="dxa"/>
            <w:vAlign w:val="bottom"/>
            <w:tcBorders>
              <w:top w:val="single" w:sz="8" w:color="auto"/>
            </w:tcBorders>
            <w:shd w:val="clear" w:color="auto" w:fill="CFF0FC"/>
          </w:tcPr>
          <w:p>
            <w:pPr>
              <w:spacing w:after="0"/>
              <w:rPr>
                <w:sz w:val="19"/>
                <w:szCs w:val="19"/>
                <w:color w:val="auto"/>
              </w:rPr>
            </w:pPr>
          </w:p>
        </w:tc>
        <w:tc>
          <w:tcPr>
            <w:tcW w:w="22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320" w:type="dxa"/>
            <w:vAlign w:val="bottom"/>
            <w:tcBorders>
              <w:top w:val="single" w:sz="8" w:color="auto"/>
            </w:tcBorders>
            <w:shd w:val="clear" w:color="auto" w:fill="CFF0FC"/>
          </w:tcPr>
          <w:p>
            <w:pPr>
              <w:spacing w:after="0"/>
              <w:rPr>
                <w:sz w:val="19"/>
                <w:szCs w:val="19"/>
                <w:color w:val="auto"/>
              </w:rPr>
            </w:pPr>
          </w:p>
        </w:tc>
        <w:tc>
          <w:tcPr>
            <w:tcW w:w="140" w:type="dxa"/>
            <w:vAlign w:val="bottom"/>
            <w:tcBorders>
              <w:top w:val="single" w:sz="8" w:color="CFF0FC"/>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140" w:type="dxa"/>
            <w:vAlign w:val="bottom"/>
            <w:tcBorders>
              <w:top w:val="single" w:sz="8" w:color="auto"/>
            </w:tcBorders>
            <w:shd w:val="clear" w:color="auto" w:fill="CFF0FC"/>
          </w:tcPr>
          <w:p>
            <w:pPr>
              <w:spacing w:after="0"/>
              <w:rPr>
                <w:sz w:val="19"/>
                <w:szCs w:val="19"/>
                <w:color w:val="auto"/>
              </w:rPr>
            </w:pPr>
          </w:p>
        </w:tc>
        <w:tc>
          <w:tcPr>
            <w:tcW w:w="1320" w:type="dxa"/>
            <w:vAlign w:val="bottom"/>
            <w:tcBorders>
              <w:top w:val="single" w:sz="8" w:color="auto"/>
            </w:tcBorders>
            <w:shd w:val="clear" w:color="auto" w:fill="CFF0FC"/>
          </w:tcPr>
          <w:p>
            <w:pPr>
              <w:spacing w:after="0"/>
              <w:rPr>
                <w:sz w:val="19"/>
                <w:szCs w:val="19"/>
                <w:color w:val="auto"/>
              </w:rPr>
            </w:pPr>
          </w:p>
        </w:tc>
        <w:tc>
          <w:tcPr>
            <w:tcW w:w="240" w:type="dxa"/>
            <w:vAlign w:val="bottom"/>
            <w:tcBorders>
              <w:top w:val="single" w:sz="8" w:color="CFF0FC"/>
            </w:tcBorders>
            <w:shd w:val="clear" w:color="auto" w:fill="CFF0FC"/>
          </w:tcPr>
          <w:p>
            <w:pPr>
              <w:spacing w:after="0"/>
              <w:rPr>
                <w:sz w:val="19"/>
                <w:szCs w:val="19"/>
                <w:color w:val="auto"/>
              </w:rPr>
            </w:pPr>
          </w:p>
        </w:tc>
        <w:tc>
          <w:tcPr>
            <w:tcW w:w="120" w:type="dxa"/>
            <w:vAlign w:val="bottom"/>
            <w:tcBorders>
              <w:top w:val="single" w:sz="8" w:color="auto"/>
            </w:tcBorders>
            <w:shd w:val="clear" w:color="auto" w:fill="CFF0FC"/>
          </w:tcPr>
          <w:p>
            <w:pPr>
              <w:spacing w:after="0"/>
              <w:rPr>
                <w:sz w:val="19"/>
                <w:szCs w:val="19"/>
                <w:color w:val="auto"/>
              </w:rPr>
            </w:pPr>
          </w:p>
        </w:tc>
        <w:tc>
          <w:tcPr>
            <w:tcW w:w="1340" w:type="dxa"/>
            <w:vAlign w:val="bottom"/>
            <w:tcBorders>
              <w:top w:val="single" w:sz="8" w:color="auto"/>
            </w:tcBorders>
            <w:shd w:val="clear" w:color="auto" w:fill="CFF0FC"/>
          </w:tcPr>
          <w:p>
            <w:pPr>
              <w:spacing w:after="0"/>
              <w:rPr>
                <w:sz w:val="19"/>
                <w:szCs w:val="19"/>
                <w:color w:val="auto"/>
              </w:rPr>
            </w:pPr>
          </w:p>
        </w:tc>
        <w:tc>
          <w:tcPr>
            <w:tcW w:w="100" w:type="dxa"/>
            <w:vAlign w:val="bottom"/>
            <w:tcBorders>
              <w:top w:val="single" w:sz="8" w:color="CFF0FC"/>
            </w:tcBorders>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760" w:type="dxa"/>
            <w:vAlign w:val="bottom"/>
          </w:tcPr>
          <w:p>
            <w:pPr>
              <w:spacing w:after="0"/>
              <w:rPr>
                <w:sz w:val="20"/>
                <w:szCs w:val="20"/>
                <w:color w:val="auto"/>
              </w:rPr>
            </w:pPr>
            <w:r>
              <w:rPr>
                <w:rFonts w:ascii="Times New Roman" w:cs="Times New Roman" w:eastAsia="Times New Roman" w:hAnsi="Times New Roman"/>
                <w:sz w:val="20"/>
                <w:szCs w:val="20"/>
                <w:color w:val="auto"/>
              </w:rPr>
              <w:t>Earnings per common share:</w:t>
            </w: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Basic</w:t>
            </w: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54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20"/>
                <w:szCs w:val="20"/>
                <w:color w:val="auto"/>
              </w:rPr>
              <w:t>(0.30)</w:t>
            </w:r>
          </w:p>
        </w:tc>
        <w:tc>
          <w:tcPr>
            <w:tcW w:w="1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0.53</w:t>
            </w:r>
          </w:p>
        </w:tc>
        <w:tc>
          <w:tcPr>
            <w:tcW w:w="140" w:type="dxa"/>
            <w:vAlign w:val="bottom"/>
            <w:shd w:val="clear" w:color="auto" w:fill="CFF0FC"/>
          </w:tcPr>
          <w:p>
            <w:pPr>
              <w:spacing w:after="0"/>
              <w:rPr>
                <w:sz w:val="21"/>
                <w:szCs w:val="21"/>
                <w:color w:val="auto"/>
              </w:rPr>
            </w:pPr>
          </w:p>
        </w:tc>
        <w:tc>
          <w:tcPr>
            <w:tcW w:w="240" w:type="dxa"/>
            <w:vAlign w:val="bottom"/>
            <w:gridSpan w:val="2"/>
            <w:shd w:val="clear" w:color="auto" w:fill="CFF0FC"/>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1.02</w:t>
            </w: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1.52</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Diluted</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54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rPr>
              <w:t>(0.30)</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0.53</w:t>
            </w:r>
          </w:p>
        </w:tc>
        <w:tc>
          <w:tcPr>
            <w:tcW w:w="140" w:type="dxa"/>
            <w:vAlign w:val="bottom"/>
          </w:tcPr>
          <w:p>
            <w:pPr>
              <w:spacing w:after="0"/>
              <w:rPr>
                <w:sz w:val="21"/>
                <w:szCs w:val="21"/>
                <w:color w:val="auto"/>
              </w:rPr>
            </w:pPr>
          </w:p>
        </w:tc>
        <w:tc>
          <w:tcPr>
            <w:tcW w:w="24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1.02</w:t>
            </w:r>
          </w:p>
        </w:tc>
        <w:tc>
          <w:tcPr>
            <w:tcW w:w="24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476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760" w:type="dxa"/>
            <w:vAlign w:val="bottom"/>
          </w:tcPr>
          <w:p>
            <w:pPr>
              <w:spacing w:after="0"/>
              <w:rPr>
                <w:sz w:val="20"/>
                <w:szCs w:val="20"/>
                <w:color w:val="auto"/>
              </w:rPr>
            </w:pPr>
            <w:r>
              <w:rPr>
                <w:rFonts w:ascii="Times New Roman" w:cs="Times New Roman" w:eastAsia="Times New Roman" w:hAnsi="Times New Roman"/>
                <w:sz w:val="20"/>
                <w:szCs w:val="20"/>
                <w:color w:val="auto"/>
              </w:rPr>
              <w:t>Weighted average number of common shares outstanding:</w:t>
            </w: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Basic</w:t>
            </w: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28,263</w:t>
            </w: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28,382</w:t>
            </w: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28,342</w:t>
            </w: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18"/>
                <w:szCs w:val="18"/>
                <w:color w:val="auto"/>
              </w:rPr>
              <w:t>28,388</w:t>
            </w: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476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Diluted</w:t>
            </w: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28,264</w:t>
            </w:r>
          </w:p>
        </w:tc>
        <w:tc>
          <w:tcPr>
            <w:tcW w:w="2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28,392</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28,343</w:t>
            </w:r>
          </w:p>
        </w:tc>
        <w:tc>
          <w:tcPr>
            <w:tcW w:w="2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28,396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476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140" w:type="dxa"/>
            <w:vAlign w:val="bottom"/>
            <w:shd w:val="clear" w:color="auto" w:fill="CFF0FC"/>
          </w:tcPr>
          <w:p>
            <w:pPr>
              <w:spacing w:after="0"/>
              <w:rPr>
                <w:sz w:val="21"/>
                <w:szCs w:val="21"/>
                <w:color w:val="auto"/>
              </w:rPr>
            </w:pPr>
          </w:p>
        </w:tc>
        <w:tc>
          <w:tcPr>
            <w:tcW w:w="13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1340" w:type="dxa"/>
            <w:vAlign w:val="bottom"/>
            <w:shd w:val="clear" w:color="auto" w:fill="CFF0FC"/>
          </w:tcPr>
          <w:p>
            <w:pPr>
              <w:spacing w:after="0"/>
              <w:rPr>
                <w:sz w:val="21"/>
                <w:szCs w:val="21"/>
                <w:color w:val="auto"/>
              </w:rPr>
            </w:pPr>
          </w:p>
        </w:tc>
        <w:tc>
          <w:tcPr>
            <w:tcW w:w="10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4760" w:type="dxa"/>
            <w:vAlign w:val="bottom"/>
          </w:tcPr>
          <w:p>
            <w:pPr>
              <w:spacing w:after="0"/>
              <w:rPr>
                <w:sz w:val="20"/>
                <w:szCs w:val="20"/>
                <w:color w:val="auto"/>
              </w:rPr>
            </w:pPr>
            <w:r>
              <w:rPr>
                <w:rFonts w:ascii="Times New Roman" w:cs="Times New Roman" w:eastAsia="Times New Roman" w:hAnsi="Times New Roman"/>
                <w:sz w:val="20"/>
                <w:szCs w:val="20"/>
                <w:color w:val="auto"/>
              </w:rPr>
              <w:t>Dividends declared per common share:</w:t>
            </w: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0.105</w:t>
            </w:r>
          </w:p>
        </w:tc>
        <w:tc>
          <w:tcPr>
            <w:tcW w:w="2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0.105</w:t>
            </w:r>
          </w:p>
        </w:tc>
        <w:tc>
          <w:tcPr>
            <w:tcW w:w="140" w:type="dxa"/>
            <w:vAlign w:val="bottom"/>
          </w:tcPr>
          <w:p>
            <w:pPr>
              <w:spacing w:after="0"/>
              <w:rPr>
                <w:sz w:val="21"/>
                <w:szCs w:val="21"/>
                <w:color w:val="auto"/>
              </w:rPr>
            </w:pPr>
          </w:p>
        </w:tc>
        <w:tc>
          <w:tcPr>
            <w:tcW w:w="240" w:type="dxa"/>
            <w:vAlign w:val="bottom"/>
            <w:gridSpan w:val="2"/>
          </w:tcPr>
          <w:p>
            <w:pPr>
              <w:ind w:left="100"/>
              <w:spacing w:after="0"/>
              <w:rPr>
                <w:sz w:val="20"/>
                <w:szCs w:val="20"/>
                <w:color w:val="auto"/>
              </w:rPr>
            </w:pPr>
            <w:r>
              <w:rPr>
                <w:rFonts w:ascii="Times New Roman" w:cs="Times New Roman" w:eastAsia="Times New Roman" w:hAnsi="Times New Roman"/>
                <w:sz w:val="18"/>
                <w:szCs w:val="18"/>
                <w:color w:val="auto"/>
              </w:rPr>
              <w:t>$</w:t>
            </w:r>
          </w:p>
        </w:tc>
        <w:tc>
          <w:tcPr>
            <w:tcW w:w="13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0.315</w:t>
            </w:r>
          </w:p>
        </w:tc>
        <w:tc>
          <w:tcPr>
            <w:tcW w:w="24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0.315</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7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2"/>
        </w:trPr>
        <w:tc>
          <w:tcPr>
            <w:tcW w:w="20" w:type="dxa"/>
            <w:vAlign w:val="bottom"/>
          </w:tcPr>
          <w:p>
            <w:pPr>
              <w:spacing w:after="0"/>
              <w:rPr>
                <w:sz w:val="24"/>
                <w:szCs w:val="24"/>
                <w:color w:val="auto"/>
              </w:rPr>
            </w:pPr>
          </w:p>
        </w:tc>
        <w:tc>
          <w:tcPr>
            <w:tcW w:w="476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3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32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132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34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14" w:right="219" w:bottom="1440" w:gutter="0" w:footer="0" w:header="0"/>
        </w:sectPr>
      </w:pPr>
    </w:p>
    <w:bookmarkStart w:id="7" w:name="page8"/>
    <w:bookmarkEnd w:id="7"/>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UNIVERSAL LOGISTICS HOLDINGS, INC.</w:t>
      </w:r>
    </w:p>
    <w:p>
      <w:pPr>
        <w:spacing w:after="0" w:line="2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Unaudited Condensed Consolidated Balance Sheets</w:t>
      </w:r>
    </w:p>
    <w:p>
      <w:pPr>
        <w:jc w:val="center"/>
        <w:ind w:right="20"/>
        <w:spacing w:after="0"/>
        <w:rPr>
          <w:sz w:val="20"/>
          <w:szCs w:val="20"/>
          <w:color w:val="auto"/>
        </w:rPr>
      </w:pPr>
      <w:r>
        <w:rPr>
          <w:rFonts w:ascii="Times New Roman" w:cs="Times New Roman" w:eastAsia="Times New Roman" w:hAnsi="Times New Roman"/>
          <w:sz w:val="20"/>
          <w:szCs w:val="20"/>
          <w:color w:val="auto"/>
        </w:rPr>
        <w:t>(In thousands)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62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00" w:type="dxa"/>
            <w:vAlign w:val="bottom"/>
            <w:gridSpan w:val="2"/>
          </w:tcPr>
          <w:p>
            <w:pPr>
              <w:ind w:left="80"/>
              <w:spacing w:after="0"/>
              <w:rPr>
                <w:sz w:val="20"/>
                <w:szCs w:val="20"/>
                <w:color w:val="auto"/>
              </w:rPr>
            </w:pPr>
            <w:r>
              <w:rPr>
                <w:rFonts w:ascii="Times New Roman" w:cs="Times New Roman" w:eastAsia="Times New Roman" w:hAnsi="Times New Roman"/>
                <w:sz w:val="18"/>
                <w:szCs w:val="18"/>
                <w:b w:val="1"/>
                <w:bCs w:val="1"/>
                <w:color w:val="auto"/>
              </w:rPr>
              <w:t>September 28,</w:t>
            </w:r>
          </w:p>
        </w:tc>
        <w:tc>
          <w:tcPr>
            <w:tcW w:w="180" w:type="dxa"/>
            <w:vAlign w:val="bottom"/>
          </w:tcPr>
          <w:p>
            <w:pPr>
              <w:spacing w:after="0"/>
              <w:rPr>
                <w:sz w:val="18"/>
                <w:szCs w:val="18"/>
                <w:color w:val="auto"/>
              </w:rPr>
            </w:pPr>
          </w:p>
        </w:tc>
        <w:tc>
          <w:tcPr>
            <w:tcW w:w="1540" w:type="dxa"/>
            <w:vAlign w:val="bottom"/>
            <w:gridSpan w:val="2"/>
          </w:tcPr>
          <w:p>
            <w:pPr>
              <w:ind w:left="100"/>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20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522"/>
              <w:spacing w:after="0"/>
              <w:rPr>
                <w:sz w:val="20"/>
                <w:szCs w:val="20"/>
                <w:color w:val="auto"/>
              </w:rPr>
            </w:pPr>
            <w:r>
              <w:rPr>
                <w:rFonts w:ascii="Times New Roman" w:cs="Times New Roman" w:eastAsia="Times New Roman" w:hAnsi="Times New Roman"/>
                <w:sz w:val="18"/>
                <w:szCs w:val="18"/>
                <w:b w:val="1"/>
                <w:bCs w:val="1"/>
                <w:color w:val="auto"/>
              </w:rPr>
              <w:t>2019</w:t>
            </w:r>
          </w:p>
        </w:tc>
        <w:tc>
          <w:tcPr>
            <w:tcW w:w="280" w:type="dxa"/>
            <w:vAlign w:val="bottom"/>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522"/>
              <w:spacing w:after="0"/>
              <w:rPr>
                <w:sz w:val="20"/>
                <w:szCs w:val="20"/>
                <w:color w:val="auto"/>
              </w:rPr>
            </w:pPr>
            <w:r>
              <w:rPr>
                <w:rFonts w:ascii="Times New Roman" w:cs="Times New Roman" w:eastAsia="Times New Roman" w:hAnsi="Times New Roman"/>
                <w:sz w:val="18"/>
                <w:szCs w:val="18"/>
                <w:b w:val="1"/>
                <w:bCs w:val="1"/>
                <w:color w:val="auto"/>
              </w:rPr>
              <w:t>2018</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622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Assets</w:t>
            </w:r>
          </w:p>
        </w:tc>
        <w:tc>
          <w:tcPr>
            <w:tcW w:w="1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Cash and cash equivalents</w:t>
            </w:r>
          </w:p>
        </w:tc>
        <w:tc>
          <w:tcPr>
            <w:tcW w:w="17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6,485</w:t>
            </w:r>
          </w:p>
        </w:tc>
        <w:tc>
          <w:tcPr>
            <w:tcW w:w="280" w:type="dxa"/>
            <w:vAlign w:val="bottom"/>
            <w:shd w:val="clear" w:color="auto" w:fill="CFF0FC"/>
          </w:tcPr>
          <w:p>
            <w:pPr>
              <w:spacing w:after="0"/>
              <w:rPr>
                <w:sz w:val="21"/>
                <w:szCs w:val="21"/>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5,727</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Marketable securities</w:t>
            </w:r>
          </w:p>
        </w:tc>
        <w:tc>
          <w:tcPr>
            <w:tcW w:w="16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9,139</w:t>
            </w: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9,333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Accounts receivable - net</w:t>
            </w:r>
          </w:p>
        </w:tc>
        <w:tc>
          <w:tcPr>
            <w:tcW w:w="1620" w:type="dxa"/>
            <w:vAlign w:val="bottom"/>
            <w:shd w:val="clear" w:color="auto" w:fill="CFF0FC"/>
          </w:tcPr>
          <w:p>
            <w:pPr>
              <w:spacing w:after="0"/>
              <w:rPr>
                <w:sz w:val="21"/>
                <w:szCs w:val="21"/>
                <w:color w:val="auto"/>
              </w:rPr>
            </w:pPr>
          </w:p>
        </w:tc>
        <w:tc>
          <w:tcPr>
            <w:tcW w:w="160" w:type="dxa"/>
            <w:vAlign w:val="bottom"/>
            <w:shd w:val="clear" w:color="auto" w:fill="CFF0FC"/>
          </w:tcPr>
          <w:p>
            <w:pPr>
              <w:spacing w:after="0"/>
              <w:rPr>
                <w:sz w:val="21"/>
                <w:szCs w:val="21"/>
                <w:color w:val="auto"/>
              </w:rPr>
            </w:pP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212,010</w:t>
            </w:r>
          </w:p>
        </w:tc>
        <w:tc>
          <w:tcPr>
            <w:tcW w:w="280" w:type="dxa"/>
            <w:vAlign w:val="bottom"/>
            <w:shd w:val="clear" w:color="auto" w:fill="CFF0FC"/>
          </w:tcPr>
          <w:p>
            <w:pPr>
              <w:spacing w:after="0"/>
              <w:rPr>
                <w:sz w:val="21"/>
                <w:szCs w:val="21"/>
                <w:color w:val="auto"/>
              </w:rPr>
            </w:pPr>
          </w:p>
        </w:tc>
        <w:tc>
          <w:tcPr>
            <w:tcW w:w="180" w:type="dxa"/>
            <w:vAlign w:val="bottom"/>
            <w:shd w:val="clear" w:color="auto" w:fill="CFF0FC"/>
          </w:tcPr>
          <w:p>
            <w:pPr>
              <w:spacing w:after="0"/>
              <w:rPr>
                <w:sz w:val="21"/>
                <w:szCs w:val="21"/>
                <w:color w:val="auto"/>
              </w:rPr>
            </w:pP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215,991</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Borders>
              <w:bottom w:val="single" w:sz="8" w:color="CFF0FC"/>
            </w:tcBorders>
          </w:tcPr>
          <w:p>
            <w:pPr>
              <w:ind w:left="240"/>
              <w:spacing w:after="0"/>
              <w:rPr>
                <w:sz w:val="20"/>
                <w:szCs w:val="20"/>
                <w:color w:val="auto"/>
              </w:rPr>
            </w:pPr>
            <w:r>
              <w:rPr>
                <w:rFonts w:ascii="Times New Roman" w:cs="Times New Roman" w:eastAsia="Times New Roman" w:hAnsi="Times New Roman"/>
                <w:sz w:val="20"/>
                <w:szCs w:val="20"/>
                <w:color w:val="auto"/>
              </w:rPr>
              <w:t>Other current assets</w:t>
            </w:r>
          </w:p>
        </w:tc>
        <w:tc>
          <w:tcPr>
            <w:tcW w:w="1620" w:type="dxa"/>
            <w:vAlign w:val="bottom"/>
            <w:tcBorders>
              <w:bottom w:val="single" w:sz="8" w:color="CFF0FC"/>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39,158</w:t>
            </w:r>
          </w:p>
        </w:tc>
        <w:tc>
          <w:tcPr>
            <w:tcW w:w="280" w:type="dxa"/>
            <w:vAlign w:val="bottom"/>
            <w:tcBorders>
              <w:bottom w:val="single" w:sz="8" w:color="CFF0FC"/>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44,207</w:t>
            </w:r>
          </w:p>
        </w:tc>
        <w:tc>
          <w:tcPr>
            <w:tcW w:w="12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20"/>
                <w:szCs w:val="20"/>
                <w:color w:val="auto"/>
              </w:rPr>
              <w:t>Total current assets</w:t>
            </w:r>
          </w:p>
        </w:tc>
        <w:tc>
          <w:tcPr>
            <w:tcW w:w="1620" w:type="dxa"/>
            <w:vAlign w:val="bottom"/>
            <w:shd w:val="clear" w:color="auto" w:fill="CFF0FC"/>
          </w:tcPr>
          <w:p>
            <w:pPr>
              <w:spacing w:after="0"/>
              <w:rPr>
                <w:sz w:val="20"/>
                <w:szCs w:val="20"/>
                <w:color w:val="auto"/>
              </w:rPr>
            </w:pPr>
          </w:p>
        </w:tc>
        <w:tc>
          <w:tcPr>
            <w:tcW w:w="160" w:type="dxa"/>
            <w:vAlign w:val="bottom"/>
            <w:shd w:val="clear" w:color="auto" w:fill="CFF0FC"/>
          </w:tcPr>
          <w:p>
            <w:pPr>
              <w:spacing w:after="0"/>
              <w:rPr>
                <w:sz w:val="20"/>
                <w:szCs w:val="20"/>
                <w:color w:val="auto"/>
              </w:rPr>
            </w:pP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266,792</w:t>
            </w:r>
          </w:p>
        </w:tc>
        <w:tc>
          <w:tcPr>
            <w:tcW w:w="280" w:type="dxa"/>
            <w:vAlign w:val="bottom"/>
            <w:shd w:val="clear" w:color="auto" w:fill="CFF0FC"/>
          </w:tcPr>
          <w:p>
            <w:pPr>
              <w:spacing w:after="0"/>
              <w:rPr>
                <w:sz w:val="20"/>
                <w:szCs w:val="20"/>
                <w:color w:val="auto"/>
              </w:rPr>
            </w:pPr>
          </w:p>
        </w:tc>
        <w:tc>
          <w:tcPr>
            <w:tcW w:w="180" w:type="dxa"/>
            <w:vAlign w:val="bottom"/>
            <w:shd w:val="clear" w:color="auto" w:fill="CFF0FC"/>
          </w:tcPr>
          <w:p>
            <w:pPr>
              <w:spacing w:after="0"/>
              <w:rPr>
                <w:sz w:val="20"/>
                <w:szCs w:val="20"/>
                <w:color w:val="auto"/>
              </w:rPr>
            </w:pP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275,258</w:t>
            </w:r>
          </w:p>
        </w:tc>
        <w:tc>
          <w:tcPr>
            <w:tcW w:w="12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Property and equipment - net</w:t>
            </w:r>
          </w:p>
        </w:tc>
        <w:tc>
          <w:tcPr>
            <w:tcW w:w="16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317,623</w:t>
            </w: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303,234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Other long-term assets - net</w:t>
            </w:r>
          </w:p>
        </w:tc>
        <w:tc>
          <w:tcPr>
            <w:tcW w:w="16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350,314</w:t>
            </w:r>
          </w:p>
        </w:tc>
        <w:tc>
          <w:tcPr>
            <w:tcW w:w="280" w:type="dxa"/>
            <w:vAlign w:val="bottom"/>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spacing w:after="0"/>
              <w:rPr>
                <w:sz w:val="21"/>
                <w:szCs w:val="21"/>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264,655</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6200" w:type="dxa"/>
            <w:vAlign w:val="bottom"/>
            <w:tcBorders>
              <w:bottom w:val="single" w:sz="8" w:color="CFF0FC"/>
            </w:tcBorders>
          </w:tcPr>
          <w:p>
            <w:pPr>
              <w:ind w:left="480"/>
              <w:spacing w:after="0"/>
              <w:rPr>
                <w:sz w:val="20"/>
                <w:szCs w:val="20"/>
                <w:color w:val="auto"/>
              </w:rPr>
            </w:pPr>
            <w:r>
              <w:rPr>
                <w:rFonts w:ascii="Times New Roman" w:cs="Times New Roman" w:eastAsia="Times New Roman" w:hAnsi="Times New Roman"/>
                <w:sz w:val="20"/>
                <w:szCs w:val="20"/>
                <w:color w:val="auto"/>
              </w:rPr>
              <w:t>Total assets</w:t>
            </w:r>
          </w:p>
        </w:tc>
        <w:tc>
          <w:tcPr>
            <w:tcW w:w="1620" w:type="dxa"/>
            <w:vAlign w:val="bottom"/>
            <w:tcBorders>
              <w:bottom w:val="single" w:sz="8" w:color="CFF0FC"/>
            </w:tcBorders>
          </w:tcPr>
          <w:p>
            <w:pPr>
              <w:spacing w:after="0"/>
              <w:rPr>
                <w:sz w:val="24"/>
                <w:szCs w:val="24"/>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934,729</w:t>
            </w:r>
          </w:p>
        </w:tc>
        <w:tc>
          <w:tcPr>
            <w:tcW w:w="280" w:type="dxa"/>
            <w:vAlign w:val="bottom"/>
            <w:tcBorders>
              <w:bottom w:val="single" w:sz="8" w:color="CFF0FC"/>
            </w:tcBorders>
          </w:tcPr>
          <w:p>
            <w:pPr>
              <w:spacing w:after="0"/>
              <w:rPr>
                <w:sz w:val="24"/>
                <w:szCs w:val="24"/>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843,147</w:t>
            </w:r>
          </w:p>
        </w:tc>
        <w:tc>
          <w:tcPr>
            <w:tcW w:w="120" w:type="dxa"/>
            <w:vAlign w:val="bottom"/>
            <w:tcBorders>
              <w:bottom w:val="single" w:sz="8" w:color="CFF0F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restart"/>
          </w:tcPr>
          <w:p>
            <w:pPr>
              <w:spacing w:after="0"/>
              <w:rPr>
                <w:sz w:val="19"/>
                <w:szCs w:val="19"/>
                <w:color w:val="auto"/>
              </w:rPr>
            </w:pPr>
          </w:p>
        </w:tc>
        <w:tc>
          <w:tcPr>
            <w:tcW w:w="6200" w:type="dxa"/>
            <w:vAlign w:val="bottom"/>
            <w:shd w:val="clear" w:color="auto" w:fill="CFF0FC"/>
          </w:tcPr>
          <w:p>
            <w:pPr>
              <w:spacing w:after="0"/>
              <w:rPr>
                <w:sz w:val="19"/>
                <w:szCs w:val="19"/>
                <w:color w:val="auto"/>
              </w:rPr>
            </w:pPr>
          </w:p>
        </w:tc>
        <w:tc>
          <w:tcPr>
            <w:tcW w:w="1620" w:type="dxa"/>
            <w:vAlign w:val="bottom"/>
            <w:shd w:val="clear" w:color="auto" w:fill="CFF0FC"/>
          </w:tcPr>
          <w:p>
            <w:pPr>
              <w:spacing w:after="0"/>
              <w:rPr>
                <w:sz w:val="19"/>
                <w:szCs w:val="19"/>
                <w:color w:val="auto"/>
              </w:rPr>
            </w:pPr>
          </w:p>
        </w:tc>
        <w:tc>
          <w:tcPr>
            <w:tcW w:w="16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28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142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6200" w:type="dxa"/>
            <w:vAlign w:val="bottom"/>
          </w:tcPr>
          <w:p>
            <w:pPr>
              <w:spacing w:after="0"/>
              <w:rPr>
                <w:sz w:val="20"/>
                <w:szCs w:val="20"/>
                <w:color w:val="auto"/>
              </w:rPr>
            </w:pPr>
            <w:r>
              <w:rPr>
                <w:rFonts w:ascii="Times New Roman" w:cs="Times New Roman" w:eastAsia="Times New Roman" w:hAnsi="Times New Roman"/>
                <w:sz w:val="20"/>
                <w:szCs w:val="20"/>
                <w:color w:val="auto"/>
              </w:rPr>
              <w:t>Liabilities and shareholders' equity</w:t>
            </w:r>
          </w:p>
        </w:tc>
        <w:tc>
          <w:tcPr>
            <w:tcW w:w="16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Current liabilities, excluding current maturities of debt</w:t>
            </w:r>
          </w:p>
        </w:tc>
        <w:tc>
          <w:tcPr>
            <w:tcW w:w="1780" w:type="dxa"/>
            <w:vAlign w:val="bottom"/>
            <w:gridSpan w:val="2"/>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232,357</w:t>
            </w:r>
          </w:p>
        </w:tc>
        <w:tc>
          <w:tcPr>
            <w:tcW w:w="280" w:type="dxa"/>
            <w:vAlign w:val="bottom"/>
            <w:shd w:val="clear" w:color="auto" w:fill="CFF0FC"/>
          </w:tcPr>
          <w:p>
            <w:pPr>
              <w:spacing w:after="0"/>
              <w:rPr>
                <w:sz w:val="21"/>
                <w:szCs w:val="21"/>
                <w:color w:val="auto"/>
              </w:rPr>
            </w:pPr>
          </w:p>
        </w:tc>
        <w:tc>
          <w:tcPr>
            <w:tcW w:w="1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4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169,266</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Debt - net</w:t>
            </w:r>
          </w:p>
        </w:tc>
        <w:tc>
          <w:tcPr>
            <w:tcW w:w="16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386,557</w:t>
            </w:r>
          </w:p>
        </w:tc>
        <w:tc>
          <w:tcPr>
            <w:tcW w:w="28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400,452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Other long-term liabilities</w:t>
            </w:r>
          </w:p>
        </w:tc>
        <w:tc>
          <w:tcPr>
            <w:tcW w:w="16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117,900</w:t>
            </w:r>
          </w:p>
        </w:tc>
        <w:tc>
          <w:tcPr>
            <w:tcW w:w="280" w:type="dxa"/>
            <w:vAlign w:val="bottom"/>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spacing w:after="0"/>
              <w:rPr>
                <w:sz w:val="21"/>
                <w:szCs w:val="21"/>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64,130</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tcPr>
          <w:p>
            <w:pPr>
              <w:ind w:left="480"/>
              <w:spacing w:after="0"/>
              <w:rPr>
                <w:sz w:val="20"/>
                <w:szCs w:val="20"/>
                <w:color w:val="auto"/>
              </w:rPr>
            </w:pPr>
            <w:r>
              <w:rPr>
                <w:rFonts w:ascii="Times New Roman" w:cs="Times New Roman" w:eastAsia="Times New Roman" w:hAnsi="Times New Roman"/>
                <w:sz w:val="20"/>
                <w:szCs w:val="20"/>
                <w:color w:val="auto"/>
              </w:rPr>
              <w:t>Total liabilities</w:t>
            </w:r>
          </w:p>
        </w:tc>
        <w:tc>
          <w:tcPr>
            <w:tcW w:w="1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736,814</w:t>
            </w:r>
          </w:p>
        </w:tc>
        <w:tc>
          <w:tcPr>
            <w:tcW w:w="2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633,848</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6200" w:type="dxa"/>
            <w:vAlign w:val="bottom"/>
            <w:shd w:val="clear" w:color="auto" w:fill="CFF0FC"/>
          </w:tcPr>
          <w:p>
            <w:pPr>
              <w:ind w:left="480"/>
              <w:spacing w:after="0"/>
              <w:rPr>
                <w:sz w:val="20"/>
                <w:szCs w:val="20"/>
                <w:color w:val="auto"/>
              </w:rPr>
            </w:pPr>
            <w:r>
              <w:rPr>
                <w:rFonts w:ascii="Times New Roman" w:cs="Times New Roman" w:eastAsia="Times New Roman" w:hAnsi="Times New Roman"/>
                <w:sz w:val="20"/>
                <w:szCs w:val="20"/>
                <w:color w:val="auto"/>
              </w:rPr>
              <w:t>Total shareholders' equity</w:t>
            </w:r>
          </w:p>
        </w:tc>
        <w:tc>
          <w:tcPr>
            <w:tcW w:w="1620" w:type="dxa"/>
            <w:vAlign w:val="bottom"/>
            <w:shd w:val="clear" w:color="auto" w:fill="CFF0FC"/>
          </w:tcPr>
          <w:p>
            <w:pPr>
              <w:spacing w:after="0"/>
              <w:rPr>
                <w:sz w:val="21"/>
                <w:szCs w:val="21"/>
                <w:color w:val="auto"/>
              </w:rPr>
            </w:pPr>
          </w:p>
        </w:tc>
        <w:tc>
          <w:tcPr>
            <w:tcW w:w="160" w:type="dxa"/>
            <w:vAlign w:val="bottom"/>
            <w:tcBorders>
              <w:bottom w:val="single" w:sz="8" w:color="auto"/>
            </w:tcBorders>
            <w:shd w:val="clear" w:color="auto" w:fill="CFF0FC"/>
          </w:tcPr>
          <w:p>
            <w:pPr>
              <w:spacing w:after="0"/>
              <w:rPr>
                <w:sz w:val="21"/>
                <w:szCs w:val="21"/>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197,915</w:t>
            </w:r>
          </w:p>
        </w:tc>
        <w:tc>
          <w:tcPr>
            <w:tcW w:w="280" w:type="dxa"/>
            <w:vAlign w:val="bottom"/>
            <w:shd w:val="clear" w:color="auto" w:fill="CFF0FC"/>
          </w:tcPr>
          <w:p>
            <w:pPr>
              <w:spacing w:after="0"/>
              <w:rPr>
                <w:sz w:val="21"/>
                <w:szCs w:val="21"/>
                <w:color w:val="auto"/>
              </w:rPr>
            </w:pPr>
          </w:p>
        </w:tc>
        <w:tc>
          <w:tcPr>
            <w:tcW w:w="180" w:type="dxa"/>
            <w:vAlign w:val="bottom"/>
            <w:tcBorders>
              <w:bottom w:val="single" w:sz="8" w:color="auto"/>
            </w:tcBorders>
            <w:shd w:val="clear" w:color="auto" w:fill="CFF0FC"/>
          </w:tcPr>
          <w:p>
            <w:pPr>
              <w:spacing w:after="0"/>
              <w:rPr>
                <w:sz w:val="21"/>
                <w:szCs w:val="21"/>
                <w:color w:val="auto"/>
              </w:rPr>
            </w:pPr>
          </w:p>
        </w:tc>
        <w:tc>
          <w:tcPr>
            <w:tcW w:w="14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209,299</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6200" w:type="dxa"/>
            <w:vAlign w:val="bottom"/>
          </w:tcPr>
          <w:p>
            <w:pPr>
              <w:ind w:left="480"/>
              <w:spacing w:after="0"/>
              <w:rPr>
                <w:sz w:val="20"/>
                <w:szCs w:val="20"/>
                <w:color w:val="auto"/>
              </w:rPr>
            </w:pPr>
            <w:r>
              <w:rPr>
                <w:rFonts w:ascii="Times New Roman" w:cs="Times New Roman" w:eastAsia="Times New Roman" w:hAnsi="Times New Roman"/>
                <w:sz w:val="20"/>
                <w:szCs w:val="20"/>
                <w:color w:val="auto"/>
              </w:rPr>
              <w:t>Total liabilities and shareholders' equity</w:t>
            </w:r>
          </w:p>
        </w:tc>
        <w:tc>
          <w:tcPr>
            <w:tcW w:w="1620" w:type="dxa"/>
            <w:vAlign w:val="bottom"/>
          </w:tcPr>
          <w:p>
            <w:pPr>
              <w:spacing w:after="0"/>
              <w:rPr>
                <w:sz w:val="20"/>
                <w:szCs w:val="20"/>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934,729</w:t>
            </w:r>
          </w:p>
        </w:tc>
        <w:tc>
          <w:tcPr>
            <w:tcW w:w="280" w:type="dxa"/>
            <w:vAlign w:val="bottom"/>
          </w:tcPr>
          <w:p>
            <w:pPr>
              <w:spacing w:after="0"/>
              <w:rPr>
                <w:sz w:val="20"/>
                <w:szCs w:val="20"/>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843,147</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20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2"/>
        </w:trPr>
        <w:tc>
          <w:tcPr>
            <w:tcW w:w="20" w:type="dxa"/>
            <w:vAlign w:val="bottom"/>
          </w:tcPr>
          <w:p>
            <w:pPr>
              <w:spacing w:after="0"/>
              <w:rPr>
                <w:sz w:val="24"/>
                <w:szCs w:val="24"/>
                <w:color w:val="auto"/>
              </w:rPr>
            </w:pPr>
          </w:p>
        </w:tc>
        <w:tc>
          <w:tcPr>
            <w:tcW w:w="6200" w:type="dxa"/>
            <w:vAlign w:val="bottom"/>
            <w:tcBorders>
              <w:bottom w:val="single" w:sz="8" w:color="9A9A9A"/>
            </w:tcBorders>
          </w:tcPr>
          <w:p>
            <w:pPr>
              <w:spacing w:after="0"/>
              <w:rPr>
                <w:sz w:val="24"/>
                <w:szCs w:val="24"/>
                <w:color w:val="auto"/>
              </w:rPr>
            </w:pPr>
          </w:p>
        </w:tc>
        <w:tc>
          <w:tcPr>
            <w:tcW w:w="162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142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142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14" w:right="21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0"/>
          <w:szCs w:val="20"/>
          <w:b w:val="1"/>
          <w:bCs w:val="1"/>
          <w:color w:val="auto"/>
        </w:rPr>
        <w:t>UNIVERSAL LOGISTICS HOLDINGS, INC.</w:t>
      </w:r>
    </w:p>
    <w:p>
      <w:pPr>
        <w:spacing w:after="0" w:line="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Unaudited Summary of Operating Data</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59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4"/>
          </w:tcPr>
          <w:p>
            <w:pPr>
              <w:jc w:val="right"/>
              <w:ind w:right="302"/>
              <w:spacing w:after="0"/>
              <w:rPr>
                <w:sz w:val="20"/>
                <w:szCs w:val="20"/>
                <w:color w:val="auto"/>
              </w:rPr>
            </w:pPr>
            <w:r>
              <w:rPr>
                <w:rFonts w:ascii="Times New Roman" w:cs="Times New Roman" w:eastAsia="Times New Roman" w:hAnsi="Times New Roman"/>
                <w:sz w:val="18"/>
                <w:szCs w:val="18"/>
                <w:b w:val="1"/>
                <w:bCs w:val="1"/>
                <w:color w:val="auto"/>
              </w:rPr>
              <w:t>Thirteen Weeks Ended</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380" w:type="dxa"/>
            <w:vAlign w:val="bottom"/>
            <w:tcBorders>
              <w:bottom w:val="single" w:sz="8" w:color="auto"/>
            </w:tcBorders>
            <w:gridSpan w:val="4"/>
          </w:tcPr>
          <w:p>
            <w:pPr>
              <w:jc w:val="right"/>
              <w:ind w:right="202"/>
              <w:spacing w:after="0"/>
              <w:rPr>
                <w:sz w:val="20"/>
                <w:szCs w:val="20"/>
                <w:color w:val="auto"/>
              </w:rPr>
            </w:pPr>
            <w:r>
              <w:rPr>
                <w:rFonts w:ascii="Times New Roman" w:cs="Times New Roman" w:eastAsia="Times New Roman" w:hAnsi="Times New Roman"/>
                <w:sz w:val="18"/>
                <w:szCs w:val="18"/>
                <w:b w:val="1"/>
                <w:bCs w:val="1"/>
                <w:color w:val="auto"/>
              </w:rPr>
              <w:t>Thirty-nine Weeks Ended</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900" w:type="dxa"/>
            <w:vAlign w:val="bottom"/>
          </w:tcPr>
          <w:p>
            <w:pPr>
              <w:spacing w:after="0"/>
              <w:rPr>
                <w:sz w:val="20"/>
                <w:szCs w:val="20"/>
                <w:color w:val="auto"/>
              </w:rPr>
            </w:pPr>
          </w:p>
        </w:tc>
        <w:tc>
          <w:tcPr>
            <w:tcW w:w="14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September 28,</w:t>
            </w:r>
          </w:p>
        </w:tc>
        <w:tc>
          <w:tcPr>
            <w:tcW w:w="14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September 29,</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b w:val="1"/>
                <w:bCs w:val="1"/>
                <w:color w:val="auto"/>
                <w:w w:val="99"/>
              </w:rPr>
              <w:t>September 28,</w:t>
            </w:r>
          </w:p>
        </w:tc>
        <w:tc>
          <w:tcPr>
            <w:tcW w:w="220" w:type="dxa"/>
            <w:vAlign w:val="bottom"/>
          </w:tcPr>
          <w:p>
            <w:pPr>
              <w:spacing w:after="0"/>
              <w:rPr>
                <w:sz w:val="20"/>
                <w:szCs w:val="20"/>
                <w:color w:val="auto"/>
              </w:rPr>
            </w:pPr>
          </w:p>
        </w:tc>
        <w:tc>
          <w:tcPr>
            <w:tcW w:w="1300" w:type="dxa"/>
            <w:vAlign w:val="bottom"/>
            <w:gridSpan w:val="3"/>
          </w:tcPr>
          <w:p>
            <w:pPr>
              <w:ind w:left="40"/>
              <w:spacing w:after="0"/>
              <w:rPr>
                <w:sz w:val="20"/>
                <w:szCs w:val="20"/>
                <w:color w:val="auto"/>
              </w:rPr>
            </w:pPr>
            <w:r>
              <w:rPr>
                <w:rFonts w:ascii="Times New Roman" w:cs="Times New Roman" w:eastAsia="Times New Roman" w:hAnsi="Times New Roman"/>
                <w:sz w:val="18"/>
                <w:szCs w:val="18"/>
                <w:b w:val="1"/>
                <w:bCs w:val="1"/>
                <w:color w:val="auto"/>
              </w:rPr>
              <w:t>September 29,</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302"/>
              <w:spacing w:after="0"/>
              <w:rPr>
                <w:sz w:val="20"/>
                <w:szCs w:val="20"/>
                <w:color w:val="auto"/>
              </w:rPr>
            </w:pPr>
            <w:r>
              <w:rPr>
                <w:rFonts w:ascii="Times New Roman" w:cs="Times New Roman" w:eastAsia="Times New Roman" w:hAnsi="Times New Roman"/>
                <w:sz w:val="18"/>
                <w:szCs w:val="18"/>
                <w:b w:val="1"/>
                <w:bCs w:val="1"/>
                <w:color w:val="auto"/>
              </w:rPr>
              <w:t>2019</w:t>
            </w:r>
          </w:p>
        </w:tc>
        <w:tc>
          <w:tcPr>
            <w:tcW w:w="24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302"/>
              <w:spacing w:after="0"/>
              <w:rPr>
                <w:sz w:val="20"/>
                <w:szCs w:val="20"/>
                <w:color w:val="auto"/>
              </w:rPr>
            </w:pPr>
            <w:r>
              <w:rPr>
                <w:rFonts w:ascii="Times New Roman" w:cs="Times New Roman" w:eastAsia="Times New Roman" w:hAnsi="Times New Roman"/>
                <w:sz w:val="18"/>
                <w:szCs w:val="18"/>
                <w:b w:val="1"/>
                <w:bCs w:val="1"/>
                <w:color w:val="auto"/>
              </w:rPr>
              <w:t>2018</w:t>
            </w:r>
          </w:p>
        </w:tc>
        <w:tc>
          <w:tcPr>
            <w:tcW w:w="240" w:type="dxa"/>
            <w:vAlign w:val="bottom"/>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322"/>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322"/>
              <w:spacing w:after="0"/>
              <w:rPr>
                <w:sz w:val="20"/>
                <w:szCs w:val="20"/>
                <w:color w:val="auto"/>
              </w:rPr>
            </w:pPr>
            <w:r>
              <w:rPr>
                <w:rFonts w:ascii="Times New Roman" w:cs="Times New Roman" w:eastAsia="Times New Roman" w:hAnsi="Times New Roman"/>
                <w:sz w:val="18"/>
                <w:szCs w:val="18"/>
                <w:b w:val="1"/>
                <w:bCs w:val="1"/>
                <w:color w:val="auto"/>
              </w:rPr>
              <w:t>2018</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592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Truckload Services:</w:t>
            </w: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Number of loads</w:t>
            </w: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56,510</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73,117</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179,025</w:t>
            </w:r>
          </w:p>
        </w:tc>
        <w:tc>
          <w:tcPr>
            <w:tcW w:w="2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220,961</w:t>
            </w: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Average operating revenue per load, excluding fuel surcharges</w:t>
            </w:r>
          </w:p>
        </w:tc>
        <w:tc>
          <w:tcPr>
            <w:tcW w:w="240" w:type="dxa"/>
            <w:vAlign w:val="bottom"/>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1,000</w:t>
            </w:r>
          </w:p>
        </w:tc>
        <w:tc>
          <w:tcPr>
            <w:tcW w:w="240" w:type="dxa"/>
            <w:vAlign w:val="bottom"/>
          </w:tcPr>
          <w:p>
            <w:pPr>
              <w:spacing w:after="0"/>
              <w:rPr>
                <w:sz w:val="21"/>
                <w:szCs w:val="21"/>
                <w:color w:val="auto"/>
              </w:rPr>
            </w:pPr>
          </w:p>
        </w:tc>
        <w:tc>
          <w:tcPr>
            <w:tcW w:w="240" w:type="dxa"/>
            <w:vAlign w:val="bottom"/>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984</w:t>
            </w:r>
          </w:p>
        </w:tc>
        <w:tc>
          <w:tcPr>
            <w:tcW w:w="240" w:type="dxa"/>
            <w:vAlign w:val="bottom"/>
          </w:tcPr>
          <w:p>
            <w:pPr>
              <w:spacing w:after="0"/>
              <w:rPr>
                <w:sz w:val="21"/>
                <w:szCs w:val="21"/>
                <w:color w:val="auto"/>
              </w:rPr>
            </w:pPr>
          </w:p>
        </w:tc>
        <w:tc>
          <w:tcPr>
            <w:tcW w:w="2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957</w:t>
            </w:r>
          </w:p>
        </w:tc>
        <w:tc>
          <w:tcPr>
            <w:tcW w:w="480" w:type="dxa"/>
            <w:vAlign w:val="bottom"/>
            <w:gridSpan w:val="2"/>
          </w:tcPr>
          <w:p>
            <w:pPr>
              <w:jc w:val="right"/>
              <w:ind w:right="70"/>
              <w:spacing w:after="0"/>
              <w:rPr>
                <w:sz w:val="20"/>
                <w:szCs w:val="20"/>
                <w:color w:val="auto"/>
              </w:rPr>
            </w:pPr>
            <w:r>
              <w:rPr>
                <w:rFonts w:ascii="Times New Roman" w:cs="Times New Roman" w:eastAsia="Times New Roman" w:hAnsi="Times New Roman"/>
                <w:sz w:val="20"/>
                <w:szCs w:val="20"/>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963</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Average operating revenue per mile, excluding fuel surcharges</w:t>
            </w:r>
          </w:p>
        </w:tc>
        <w:tc>
          <w:tcPr>
            <w:tcW w:w="240" w:type="dxa"/>
            <w:vAlign w:val="bottom"/>
            <w:shd w:val="clear" w:color="auto" w:fill="CFF0FC"/>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3.34</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3.03</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jc w:val="right"/>
              <w:ind w:right="3"/>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3.29</w:t>
            </w:r>
          </w:p>
        </w:tc>
        <w:tc>
          <w:tcPr>
            <w:tcW w:w="4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20"/>
                <w:szCs w:val="20"/>
                <w:color w:val="auto"/>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2.85</w:t>
            </w: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Average length of haul</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299</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325</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291</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339</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Average number of tractors</w:t>
            </w: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1,470</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1,772</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1,541</w:t>
            </w:r>
          </w:p>
        </w:tc>
        <w:tc>
          <w:tcPr>
            <w:tcW w:w="2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1,813</w:t>
            </w: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59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5900" w:type="dxa"/>
            <w:vAlign w:val="bottom"/>
            <w:shd w:val="clear" w:color="auto" w:fill="CFF0FC"/>
          </w:tcPr>
          <w:p>
            <w:pPr>
              <w:spacing w:after="0"/>
              <w:rPr>
                <w:sz w:val="20"/>
                <w:szCs w:val="20"/>
                <w:color w:val="auto"/>
              </w:rPr>
            </w:pPr>
            <w:r>
              <w:rPr>
                <w:rFonts w:ascii="Times New Roman" w:cs="Times New Roman" w:eastAsia="Times New Roman" w:hAnsi="Times New Roman"/>
                <w:sz w:val="20"/>
                <w:szCs w:val="20"/>
                <w:b w:val="1"/>
                <w:bCs w:val="1"/>
                <w:color w:val="auto"/>
              </w:rPr>
              <w:t>Brokerage Services:</w:t>
            </w: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Number of loads (a)</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61,072</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58,147</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172,391</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157,246</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Average operating revenue per load (a)</w:t>
            </w:r>
          </w:p>
        </w:tc>
        <w:tc>
          <w:tcPr>
            <w:tcW w:w="240" w:type="dxa"/>
            <w:vAlign w:val="bottom"/>
            <w:shd w:val="clear" w:color="auto" w:fill="CFF0FC"/>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1,494</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1,643</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jc w:val="right"/>
              <w:ind w:right="3"/>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1,499</w:t>
            </w:r>
          </w:p>
        </w:tc>
        <w:tc>
          <w:tcPr>
            <w:tcW w:w="480" w:type="dxa"/>
            <w:vAlign w:val="bottom"/>
            <w:gridSpan w:val="2"/>
            <w:shd w:val="clear" w:color="auto" w:fill="CFF0FC"/>
          </w:tcPr>
          <w:p>
            <w:pPr>
              <w:jc w:val="right"/>
              <w:ind w:right="70"/>
              <w:spacing w:after="0"/>
              <w:rPr>
                <w:sz w:val="20"/>
                <w:szCs w:val="20"/>
                <w:color w:val="auto"/>
              </w:rPr>
            </w:pPr>
            <w:r>
              <w:rPr>
                <w:rFonts w:ascii="Times New Roman" w:cs="Times New Roman" w:eastAsia="Times New Roman" w:hAnsi="Times New Roman"/>
                <w:sz w:val="20"/>
                <w:szCs w:val="20"/>
                <w:color w:val="auto"/>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1,650</w:t>
            </w: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Average length of haul (a)</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661</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613</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648</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588</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59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59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Intermodal Services:</w:t>
            </w: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Number of loads</w:t>
            </w: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154,600</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119,410</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484,539</w:t>
            </w:r>
          </w:p>
        </w:tc>
        <w:tc>
          <w:tcPr>
            <w:tcW w:w="2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311,907</w:t>
            </w: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Average operating revenue per load, excluding fuel surcharges</w:t>
            </w:r>
          </w:p>
        </w:tc>
        <w:tc>
          <w:tcPr>
            <w:tcW w:w="240" w:type="dxa"/>
            <w:vAlign w:val="bottom"/>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526</w:t>
            </w:r>
          </w:p>
        </w:tc>
        <w:tc>
          <w:tcPr>
            <w:tcW w:w="240" w:type="dxa"/>
            <w:vAlign w:val="bottom"/>
          </w:tcPr>
          <w:p>
            <w:pPr>
              <w:spacing w:after="0"/>
              <w:rPr>
                <w:sz w:val="21"/>
                <w:szCs w:val="21"/>
                <w:color w:val="auto"/>
              </w:rPr>
            </w:pPr>
          </w:p>
        </w:tc>
        <w:tc>
          <w:tcPr>
            <w:tcW w:w="240" w:type="dxa"/>
            <w:vAlign w:val="bottom"/>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490</w:t>
            </w:r>
          </w:p>
        </w:tc>
        <w:tc>
          <w:tcPr>
            <w:tcW w:w="240" w:type="dxa"/>
            <w:vAlign w:val="bottom"/>
          </w:tcPr>
          <w:p>
            <w:pPr>
              <w:spacing w:after="0"/>
              <w:rPr>
                <w:sz w:val="21"/>
                <w:szCs w:val="21"/>
                <w:color w:val="auto"/>
              </w:rPr>
            </w:pPr>
          </w:p>
        </w:tc>
        <w:tc>
          <w:tcPr>
            <w:tcW w:w="200" w:type="dxa"/>
            <w:vAlign w:val="bottom"/>
          </w:tcPr>
          <w:p>
            <w:pPr>
              <w:jc w:val="right"/>
              <w:ind w:right="3"/>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504</w:t>
            </w:r>
          </w:p>
        </w:tc>
        <w:tc>
          <w:tcPr>
            <w:tcW w:w="480" w:type="dxa"/>
            <w:vAlign w:val="bottom"/>
            <w:gridSpan w:val="2"/>
          </w:tcPr>
          <w:p>
            <w:pPr>
              <w:jc w:val="right"/>
              <w:ind w:right="70"/>
              <w:spacing w:after="0"/>
              <w:rPr>
                <w:sz w:val="20"/>
                <w:szCs w:val="20"/>
                <w:color w:val="auto"/>
              </w:rPr>
            </w:pPr>
            <w:r>
              <w:rPr>
                <w:rFonts w:ascii="Times New Roman" w:cs="Times New Roman" w:eastAsia="Times New Roman" w:hAnsi="Times New Roman"/>
                <w:sz w:val="20"/>
                <w:szCs w:val="20"/>
                <w:color w:val="auto"/>
              </w:rPr>
              <w:t>$</w:t>
            </w: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474</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Average number of tractors</w:t>
            </w: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1,821</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1,185</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1,790</w:t>
            </w:r>
          </w:p>
        </w:tc>
        <w:tc>
          <w:tcPr>
            <w:tcW w:w="2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1,059</w:t>
            </w: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Number of depots</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w:t>
            </w: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w:t>
            </w: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59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59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Dedicated Services:</w:t>
            </w: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Number of loads (b)</w:t>
            </w: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138,934</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139,116</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433,937</w:t>
            </w:r>
          </w:p>
        </w:tc>
        <w:tc>
          <w:tcPr>
            <w:tcW w:w="22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415,215</w:t>
            </w:r>
          </w:p>
        </w:tc>
        <w:tc>
          <w:tcPr>
            <w:tcW w:w="12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460" w:right="120" w:hanging="452"/>
        <w:spacing w:after="0" w:line="251" w:lineRule="auto"/>
        <w:tabs>
          <w:tab w:leader="none" w:pos="4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Excludes operating data from freight forwarding division in order to improve the relevance of the statistical data related to our brokerage services and improve the comparability to our peer companies.</w:t>
      </w:r>
    </w:p>
    <w:p>
      <w:pPr>
        <w:ind w:left="460" w:hanging="452"/>
        <w:spacing w:after="0"/>
        <w:tabs>
          <w:tab w:leader="none" w:pos="46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Includes shuttle moves.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55880</wp:posOffset>
            </wp:positionV>
            <wp:extent cx="7289165"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42545"/>
                    </a:xfrm>
                    <a:prstGeom prst="rect">
                      <a:avLst/>
                    </a:prstGeom>
                    <a:noFill/>
                  </pic:spPr>
                </pic:pic>
              </a:graphicData>
            </a:graphic>
          </wp:anchor>
        </w:drawing>
      </w:r>
    </w:p>
    <w:p>
      <w:pPr>
        <w:sectPr>
          <w:pgSz w:w="11900" w:h="16838" w:orient="portrait"/>
          <w:cols w:equalWidth="0" w:num="1">
            <w:col w:w="11420"/>
          </w:cols>
          <w:pgMar w:left="240" w:top="114" w:right="239" w:bottom="1440" w:gutter="0" w:footer="0" w:header="0"/>
        </w:sectPr>
      </w:pPr>
    </w:p>
    <w:bookmarkStart w:id="9" w:name="page10"/>
    <w:bookmarkEnd w:id="9"/>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UNIVERSAL LOGISTICS HOLDINGS, INC.</w:t>
      </w:r>
    </w:p>
    <w:p>
      <w:pPr>
        <w:spacing w:after="0" w:line="2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Unaudited Summary of Operating Data - Continued</w:t>
      </w:r>
    </w:p>
    <w:p>
      <w:pPr>
        <w:jc w:val="center"/>
        <w:ind w:right="20"/>
        <w:spacing w:after="0"/>
        <w:rPr>
          <w:sz w:val="20"/>
          <w:szCs w:val="20"/>
          <w:color w:val="auto"/>
        </w:rPr>
      </w:pPr>
      <w:r>
        <w:rPr>
          <w:rFonts w:ascii="Times New Roman" w:cs="Times New Roman" w:eastAsia="Times New Roman" w:hAnsi="Times New Roman"/>
          <w:sz w:val="20"/>
          <w:szCs w:val="20"/>
          <w:color w:val="auto"/>
        </w:rPr>
        <w:t>(Dollars in thousands)</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590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320" w:type="dxa"/>
            <w:vAlign w:val="bottom"/>
            <w:tcBorders>
              <w:bottom w:val="single" w:sz="8" w:color="auto"/>
            </w:tcBorders>
            <w:gridSpan w:val="4"/>
          </w:tcPr>
          <w:p>
            <w:pPr>
              <w:jc w:val="right"/>
              <w:ind w:right="302"/>
              <w:spacing w:after="0"/>
              <w:rPr>
                <w:sz w:val="20"/>
                <w:szCs w:val="20"/>
                <w:color w:val="auto"/>
              </w:rPr>
            </w:pPr>
            <w:r>
              <w:rPr>
                <w:rFonts w:ascii="Times New Roman" w:cs="Times New Roman" w:eastAsia="Times New Roman" w:hAnsi="Times New Roman"/>
                <w:sz w:val="18"/>
                <w:szCs w:val="18"/>
                <w:b w:val="1"/>
                <w:bCs w:val="1"/>
                <w:color w:val="auto"/>
              </w:rPr>
              <w:t>Thirteen Weeks Ended</w:t>
            </w:r>
          </w:p>
        </w:tc>
        <w:tc>
          <w:tcPr>
            <w:tcW w:w="24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2380" w:type="dxa"/>
            <w:vAlign w:val="bottom"/>
            <w:tcBorders>
              <w:bottom w:val="single" w:sz="8" w:color="auto"/>
            </w:tcBorders>
            <w:gridSpan w:val="5"/>
          </w:tcPr>
          <w:p>
            <w:pPr>
              <w:jc w:val="right"/>
              <w:ind w:right="202"/>
              <w:spacing w:after="0"/>
              <w:rPr>
                <w:sz w:val="20"/>
                <w:szCs w:val="20"/>
                <w:color w:val="auto"/>
              </w:rPr>
            </w:pPr>
            <w:r>
              <w:rPr>
                <w:rFonts w:ascii="Times New Roman" w:cs="Times New Roman" w:eastAsia="Times New Roman" w:hAnsi="Times New Roman"/>
                <w:sz w:val="18"/>
                <w:szCs w:val="18"/>
                <w:b w:val="1"/>
                <w:bCs w:val="1"/>
                <w:color w:val="auto"/>
              </w:rPr>
              <w:t>Thirty-nine Weeks Ended</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900" w:type="dxa"/>
            <w:vAlign w:val="bottom"/>
          </w:tcPr>
          <w:p>
            <w:pPr>
              <w:spacing w:after="0"/>
              <w:rPr>
                <w:sz w:val="20"/>
                <w:szCs w:val="20"/>
                <w:color w:val="auto"/>
              </w:rPr>
            </w:pPr>
          </w:p>
        </w:tc>
        <w:tc>
          <w:tcPr>
            <w:tcW w:w="140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w w:val="99"/>
              </w:rPr>
              <w:t>September 28,</w:t>
            </w:r>
          </w:p>
        </w:tc>
        <w:tc>
          <w:tcPr>
            <w:tcW w:w="14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September 29,</w:t>
            </w:r>
          </w:p>
        </w:tc>
        <w:tc>
          <w:tcPr>
            <w:tcW w:w="1400" w:type="dxa"/>
            <w:vAlign w:val="bottom"/>
            <w:gridSpan w:val="3"/>
          </w:tcPr>
          <w:p>
            <w:pPr>
              <w:ind w:left="40"/>
              <w:spacing w:after="0"/>
              <w:rPr>
                <w:sz w:val="20"/>
                <w:szCs w:val="20"/>
                <w:color w:val="auto"/>
              </w:rPr>
            </w:pPr>
            <w:r>
              <w:rPr>
                <w:rFonts w:ascii="Times New Roman" w:cs="Times New Roman" w:eastAsia="Times New Roman" w:hAnsi="Times New Roman"/>
                <w:sz w:val="18"/>
                <w:szCs w:val="18"/>
                <w:b w:val="1"/>
                <w:bCs w:val="1"/>
                <w:color w:val="auto"/>
              </w:rPr>
              <w:t>September 28,</w:t>
            </w:r>
          </w:p>
        </w:tc>
        <w:tc>
          <w:tcPr>
            <w:tcW w:w="20" w:type="dxa"/>
            <w:vAlign w:val="bottom"/>
          </w:tcPr>
          <w:p>
            <w:pPr>
              <w:spacing w:after="0"/>
              <w:rPr>
                <w:sz w:val="20"/>
                <w:szCs w:val="20"/>
                <w:color w:val="auto"/>
              </w:rPr>
            </w:pPr>
          </w:p>
        </w:tc>
        <w:tc>
          <w:tcPr>
            <w:tcW w:w="128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September 29,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Borders>
              <w:bottom w:val="single" w:sz="8" w:color="CFF0FC"/>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302"/>
              <w:spacing w:after="0"/>
              <w:rPr>
                <w:sz w:val="20"/>
                <w:szCs w:val="20"/>
                <w:color w:val="auto"/>
              </w:rPr>
            </w:pPr>
            <w:r>
              <w:rPr>
                <w:rFonts w:ascii="Times New Roman" w:cs="Times New Roman" w:eastAsia="Times New Roman" w:hAnsi="Times New Roman"/>
                <w:sz w:val="18"/>
                <w:szCs w:val="18"/>
                <w:b w:val="1"/>
                <w:bCs w:val="1"/>
                <w:color w:val="auto"/>
              </w:rPr>
              <w:t>2019</w:t>
            </w:r>
          </w:p>
        </w:tc>
        <w:tc>
          <w:tcPr>
            <w:tcW w:w="240" w:type="dxa"/>
            <w:vAlign w:val="bottom"/>
            <w:tcBorders>
              <w:bottom w:val="single" w:sz="8" w:color="CFF0FC"/>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302"/>
              <w:spacing w:after="0"/>
              <w:rPr>
                <w:sz w:val="20"/>
                <w:szCs w:val="20"/>
                <w:color w:val="auto"/>
              </w:rPr>
            </w:pPr>
            <w:r>
              <w:rPr>
                <w:rFonts w:ascii="Times New Roman" w:cs="Times New Roman" w:eastAsia="Times New Roman" w:hAnsi="Times New Roman"/>
                <w:sz w:val="18"/>
                <w:szCs w:val="18"/>
                <w:b w:val="1"/>
                <w:bCs w:val="1"/>
                <w:color w:val="auto"/>
              </w:rPr>
              <w:t>2018</w:t>
            </w:r>
          </w:p>
        </w:tc>
        <w:tc>
          <w:tcPr>
            <w:tcW w:w="240" w:type="dxa"/>
            <w:vAlign w:val="bottom"/>
            <w:tcBorders>
              <w:bottom w:val="single" w:sz="8" w:color="CFF0FC"/>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jc w:val="right"/>
              <w:ind w:right="322"/>
              <w:spacing w:after="0"/>
              <w:rPr>
                <w:sz w:val="20"/>
                <w:szCs w:val="20"/>
                <w:color w:val="auto"/>
              </w:rPr>
            </w:pPr>
            <w:r>
              <w:rPr>
                <w:rFonts w:ascii="Times New Roman" w:cs="Times New Roman" w:eastAsia="Times New Roman" w:hAnsi="Times New Roman"/>
                <w:sz w:val="18"/>
                <w:szCs w:val="18"/>
                <w:b w:val="1"/>
                <w:bCs w:val="1"/>
                <w:color w:val="auto"/>
              </w:rPr>
              <w:t>2019</w:t>
            </w:r>
          </w:p>
        </w:tc>
        <w:tc>
          <w:tcPr>
            <w:tcW w:w="220" w:type="dxa"/>
            <w:vAlign w:val="bottom"/>
            <w:tcBorders>
              <w:bottom w:val="single" w:sz="8" w:color="CFF0FC"/>
            </w:tcBorders>
          </w:tcPr>
          <w:p>
            <w:pPr>
              <w:spacing w:after="0"/>
              <w:rPr>
                <w:sz w:val="21"/>
                <w:szCs w:val="21"/>
                <w:color w:val="auto"/>
              </w:rPr>
            </w:pPr>
          </w:p>
        </w:tc>
        <w:tc>
          <w:tcPr>
            <w:tcW w:w="20" w:type="dxa"/>
            <w:vAlign w:val="bottom"/>
            <w:tcBorders>
              <w:bottom w:val="single" w:sz="8" w:color="CFF0FC"/>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322"/>
              <w:spacing w:after="0"/>
              <w:rPr>
                <w:sz w:val="20"/>
                <w:szCs w:val="20"/>
                <w:color w:val="auto"/>
              </w:rPr>
            </w:pPr>
            <w:r>
              <w:rPr>
                <w:rFonts w:ascii="Times New Roman" w:cs="Times New Roman" w:eastAsia="Times New Roman" w:hAnsi="Times New Roman"/>
                <w:sz w:val="18"/>
                <w:szCs w:val="18"/>
                <w:b w:val="1"/>
                <w:bCs w:val="1"/>
                <w:color w:val="auto"/>
              </w:rPr>
              <w:t>2018</w:t>
            </w:r>
          </w:p>
        </w:tc>
        <w:tc>
          <w:tcPr>
            <w:tcW w:w="120" w:type="dxa"/>
            <w:vAlign w:val="bottom"/>
            <w:tcBorders>
              <w:bottom w:val="single" w:sz="8" w:color="CFF0FC"/>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900" w:type="dxa"/>
            <w:vAlign w:val="bottom"/>
            <w:shd w:val="clear" w:color="auto" w:fill="CFF0FC"/>
          </w:tcPr>
          <w:p>
            <w:pPr>
              <w:spacing w:after="0"/>
              <w:rPr>
                <w:sz w:val="20"/>
                <w:szCs w:val="20"/>
                <w:color w:val="auto"/>
              </w:rPr>
            </w:pPr>
            <w:r>
              <w:rPr>
                <w:rFonts w:ascii="Times New Roman" w:cs="Times New Roman" w:eastAsia="Times New Roman" w:hAnsi="Times New Roman"/>
                <w:sz w:val="20"/>
                <w:szCs w:val="20"/>
                <w:b w:val="1"/>
                <w:bCs w:val="1"/>
                <w:color w:val="auto"/>
              </w:rPr>
              <w:t>Value-added Services</w:t>
            </w:r>
          </w:p>
        </w:tc>
        <w:tc>
          <w:tcPr>
            <w:tcW w:w="240" w:type="dxa"/>
            <w:vAlign w:val="bottom"/>
            <w:shd w:val="clear" w:color="auto" w:fill="CFF0FC"/>
          </w:tcPr>
          <w:p>
            <w:pPr>
              <w:spacing w:after="0"/>
              <w:rPr>
                <w:sz w:val="20"/>
                <w:szCs w:val="20"/>
                <w:color w:val="auto"/>
              </w:rPr>
            </w:pPr>
          </w:p>
        </w:tc>
        <w:tc>
          <w:tcPr>
            <w:tcW w:w="9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920" w:type="dxa"/>
            <w:vAlign w:val="bottom"/>
            <w:shd w:val="clear" w:color="auto" w:fill="CFF0FC"/>
          </w:tcPr>
          <w:p>
            <w:pPr>
              <w:spacing w:after="0"/>
              <w:rPr>
                <w:sz w:val="20"/>
                <w:szCs w:val="20"/>
                <w:color w:val="auto"/>
              </w:rPr>
            </w:pPr>
          </w:p>
        </w:tc>
        <w:tc>
          <w:tcPr>
            <w:tcW w:w="240" w:type="dxa"/>
            <w:vAlign w:val="bottom"/>
            <w:shd w:val="clear" w:color="auto" w:fill="CFF0FC"/>
          </w:tcPr>
          <w:p>
            <w:pPr>
              <w:spacing w:after="0"/>
              <w:rPr>
                <w:sz w:val="20"/>
                <w:szCs w:val="20"/>
                <w:color w:val="auto"/>
              </w:rPr>
            </w:pPr>
          </w:p>
        </w:tc>
        <w:tc>
          <w:tcPr>
            <w:tcW w:w="200" w:type="dxa"/>
            <w:vAlign w:val="bottom"/>
            <w:shd w:val="clear" w:color="auto" w:fill="CFF0FC"/>
          </w:tcPr>
          <w:p>
            <w:pPr>
              <w:spacing w:after="0"/>
              <w:rPr>
                <w:sz w:val="20"/>
                <w:szCs w:val="20"/>
                <w:color w:val="auto"/>
              </w:rPr>
            </w:pPr>
          </w:p>
        </w:tc>
        <w:tc>
          <w:tcPr>
            <w:tcW w:w="98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20" w:type="dxa"/>
            <w:vAlign w:val="bottom"/>
            <w:shd w:val="clear" w:color="auto" w:fill="CFF0FC"/>
          </w:tcPr>
          <w:p>
            <w:pPr>
              <w:spacing w:after="0"/>
              <w:rPr>
                <w:sz w:val="20"/>
                <w:szCs w:val="20"/>
                <w:color w:val="auto"/>
              </w:rPr>
            </w:pPr>
          </w:p>
        </w:tc>
        <w:tc>
          <w:tcPr>
            <w:tcW w:w="220" w:type="dxa"/>
            <w:vAlign w:val="bottom"/>
            <w:shd w:val="clear" w:color="auto" w:fill="CFF0FC"/>
          </w:tcPr>
          <w:p>
            <w:pPr>
              <w:spacing w:after="0"/>
              <w:rPr>
                <w:sz w:val="20"/>
                <w:szCs w:val="20"/>
                <w:color w:val="auto"/>
              </w:rPr>
            </w:pPr>
          </w:p>
        </w:tc>
        <w:tc>
          <w:tcPr>
            <w:tcW w:w="940" w:type="dxa"/>
            <w:vAlign w:val="bottom"/>
            <w:shd w:val="clear" w:color="auto" w:fill="CFF0FC"/>
          </w:tcPr>
          <w:p>
            <w:pPr>
              <w:spacing w:after="0"/>
              <w:rPr>
                <w:sz w:val="20"/>
                <w:szCs w:val="20"/>
                <w:color w:val="auto"/>
              </w:rPr>
            </w:pPr>
          </w:p>
        </w:tc>
        <w:tc>
          <w:tcPr>
            <w:tcW w:w="120" w:type="dxa"/>
            <w:vAlign w:val="bottom"/>
            <w:shd w:val="clear" w:color="auto" w:fill="CFF0FC"/>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Average number of direct employees</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3,373</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3,664</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3,613</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3,869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Average number of full-time equivalents</w:t>
            </w: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1,435</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1,413</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1,590</w:t>
            </w:r>
          </w:p>
        </w:tc>
        <w:tc>
          <w:tcPr>
            <w:tcW w:w="22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1,385</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Number of active programs</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54</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54</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restart"/>
          </w:tcPr>
          <w:p>
            <w:pPr>
              <w:spacing w:after="0"/>
              <w:rPr>
                <w:sz w:val="21"/>
                <w:szCs w:val="21"/>
                <w:color w:val="auto"/>
              </w:rPr>
            </w:pPr>
          </w:p>
        </w:tc>
        <w:tc>
          <w:tcPr>
            <w:tcW w:w="590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spacing w:after="0"/>
              <w:rPr>
                <w:sz w:val="21"/>
                <w:szCs w:val="21"/>
                <w:color w:val="auto"/>
              </w:rPr>
            </w:pPr>
          </w:p>
        </w:tc>
        <w:tc>
          <w:tcPr>
            <w:tcW w:w="9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940" w:type="dxa"/>
            <w:vAlign w:val="bottom"/>
            <w:shd w:val="clear" w:color="auto" w:fill="CFF0FC"/>
          </w:tcPr>
          <w:p>
            <w:pPr>
              <w:spacing w:after="0"/>
              <w:rPr>
                <w:sz w:val="21"/>
                <w:szCs w:val="21"/>
                <w:color w:val="auto"/>
              </w:rPr>
            </w:pP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59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Operating Revenues by Segment:</w:t>
            </w: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Transportation</w:t>
            </w:r>
          </w:p>
        </w:tc>
        <w:tc>
          <w:tcPr>
            <w:tcW w:w="240" w:type="dxa"/>
            <w:vAlign w:val="bottom"/>
            <w:shd w:val="clear" w:color="auto" w:fill="CFF0FC"/>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254,129</w:t>
            </w:r>
          </w:p>
        </w:tc>
        <w:tc>
          <w:tcPr>
            <w:tcW w:w="240" w:type="dxa"/>
            <w:vAlign w:val="bottom"/>
            <w:shd w:val="clear" w:color="auto" w:fill="CFF0FC"/>
          </w:tcPr>
          <w:p>
            <w:pPr>
              <w:spacing w:after="0"/>
              <w:rPr>
                <w:sz w:val="21"/>
                <w:szCs w:val="21"/>
                <w:color w:val="auto"/>
              </w:rPr>
            </w:pPr>
          </w:p>
        </w:tc>
        <w:tc>
          <w:tcPr>
            <w:tcW w:w="240" w:type="dxa"/>
            <w:vAlign w:val="bottom"/>
            <w:shd w:val="clear" w:color="auto" w:fill="CFF0FC"/>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248,529</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jc w:val="right"/>
              <w:ind w:right="3"/>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752,610</w:t>
            </w:r>
          </w:p>
        </w:tc>
        <w:tc>
          <w:tcPr>
            <w:tcW w:w="220" w:type="dxa"/>
            <w:vAlign w:val="bottom"/>
            <w:shd w:val="clear" w:color="auto" w:fill="CFF0FC"/>
          </w:tcPr>
          <w:p>
            <w:pPr>
              <w:spacing w:after="0"/>
              <w:rPr>
                <w:sz w:val="21"/>
                <w:szCs w:val="21"/>
                <w:color w:val="auto"/>
              </w:rPr>
            </w:pPr>
          </w:p>
        </w:tc>
        <w:tc>
          <w:tcPr>
            <w:tcW w:w="240" w:type="dxa"/>
            <w:vAlign w:val="bottom"/>
            <w:gridSpan w:val="2"/>
            <w:shd w:val="clear" w:color="auto" w:fill="CFF0FC"/>
          </w:tcPr>
          <w:p>
            <w:pPr>
              <w:jc w:val="right"/>
              <w:ind w:right="55"/>
              <w:spacing w:after="0"/>
              <w:rPr>
                <w:sz w:val="20"/>
                <w:szCs w:val="20"/>
                <w:color w:val="auto"/>
              </w:rPr>
            </w:pPr>
            <w:r>
              <w:rPr>
                <w:rFonts w:ascii="Times New Roman" w:cs="Times New Roman" w:eastAsia="Times New Roman" w:hAnsi="Times New Roman"/>
                <w:sz w:val="20"/>
                <w:szCs w:val="20"/>
                <w:color w:val="auto"/>
                <w:w w:val="79"/>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688,794</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Logistics</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120,981</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125,385</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382,541</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385,431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Other</w:t>
            </w:r>
          </w:p>
        </w:tc>
        <w:tc>
          <w:tcPr>
            <w:tcW w:w="240" w:type="dxa"/>
            <w:vAlign w:val="bottom"/>
            <w:tcBorders>
              <w:bottom w:val="single" w:sz="8" w:color="auto"/>
            </w:tcBorders>
            <w:shd w:val="clear" w:color="auto" w:fill="CFF0FC"/>
          </w:tcPr>
          <w:p>
            <w:pPr>
              <w:spacing w:after="0"/>
              <w:rPr>
                <w:sz w:val="21"/>
                <w:szCs w:val="21"/>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375</w:t>
            </w:r>
          </w:p>
        </w:tc>
        <w:tc>
          <w:tcPr>
            <w:tcW w:w="240" w:type="dxa"/>
            <w:vAlign w:val="bottom"/>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378</w:t>
            </w:r>
          </w:p>
        </w:tc>
        <w:tc>
          <w:tcPr>
            <w:tcW w:w="240" w:type="dxa"/>
            <w:vAlign w:val="bottom"/>
            <w:shd w:val="clear" w:color="auto" w:fill="CFF0FC"/>
          </w:tcPr>
          <w:p>
            <w:pPr>
              <w:spacing w:after="0"/>
              <w:rPr>
                <w:sz w:val="21"/>
                <w:szCs w:val="21"/>
                <w:color w:val="auto"/>
              </w:rPr>
            </w:pPr>
          </w:p>
        </w:tc>
        <w:tc>
          <w:tcPr>
            <w:tcW w:w="200" w:type="dxa"/>
            <w:vAlign w:val="bottom"/>
            <w:tcBorders>
              <w:bottom w:val="single" w:sz="8" w:color="auto"/>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916</w:t>
            </w:r>
          </w:p>
        </w:tc>
        <w:tc>
          <w:tcPr>
            <w:tcW w:w="22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20" w:type="dxa"/>
            <w:vAlign w:val="bottom"/>
            <w:tcBorders>
              <w:bottom w:val="single" w:sz="8" w:color="auto"/>
            </w:tcBorders>
            <w:shd w:val="clear" w:color="auto" w:fill="CFF0FC"/>
          </w:tcPr>
          <w:p>
            <w:pPr>
              <w:spacing w:after="0"/>
              <w:rPr>
                <w:sz w:val="21"/>
                <w:szCs w:val="21"/>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1,105</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7"/>
        </w:trPr>
        <w:tc>
          <w:tcPr>
            <w:tcW w:w="20" w:type="dxa"/>
            <w:vAlign w:val="bottom"/>
          </w:tcPr>
          <w:p>
            <w:pPr>
              <w:spacing w:after="0"/>
              <w:rPr>
                <w:sz w:val="24"/>
                <w:szCs w:val="24"/>
                <w:color w:val="auto"/>
              </w:rPr>
            </w:pPr>
          </w:p>
        </w:tc>
        <w:tc>
          <w:tcPr>
            <w:tcW w:w="5900" w:type="dxa"/>
            <w:vAlign w:val="bottom"/>
            <w:tcBorders>
              <w:bottom w:val="single" w:sz="8" w:color="CFF0FC"/>
            </w:tcBorders>
          </w:tcPr>
          <w:p>
            <w:pPr>
              <w:ind w:left="360"/>
              <w:spacing w:after="0"/>
              <w:rPr>
                <w:sz w:val="20"/>
                <w:szCs w:val="20"/>
                <w:color w:val="auto"/>
              </w:rPr>
            </w:pPr>
            <w:r>
              <w:rPr>
                <w:rFonts w:ascii="Times New Roman" w:cs="Times New Roman" w:eastAsia="Times New Roman" w:hAnsi="Times New Roman"/>
                <w:sz w:val="20"/>
                <w:szCs w:val="20"/>
                <w:color w:val="auto"/>
              </w:rPr>
              <w:t>Total</w:t>
            </w:r>
          </w:p>
        </w:tc>
        <w:tc>
          <w:tcPr>
            <w:tcW w:w="240" w:type="dxa"/>
            <w:vAlign w:val="bottom"/>
            <w:tcBorders>
              <w:bottom w:val="single" w:sz="8" w:color="auto"/>
            </w:tcBorders>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375,485</w:t>
            </w:r>
          </w:p>
        </w:tc>
        <w:tc>
          <w:tcPr>
            <w:tcW w:w="240" w:type="dxa"/>
            <w:vAlign w:val="bottom"/>
            <w:tcBorders>
              <w:bottom w:val="single" w:sz="8" w:color="CFF0FC"/>
            </w:tcBorders>
          </w:tcPr>
          <w:p>
            <w:pPr>
              <w:spacing w:after="0"/>
              <w:rPr>
                <w:sz w:val="24"/>
                <w:szCs w:val="24"/>
                <w:color w:val="auto"/>
              </w:rPr>
            </w:pPr>
          </w:p>
        </w:tc>
        <w:tc>
          <w:tcPr>
            <w:tcW w:w="240" w:type="dxa"/>
            <w:vAlign w:val="bottom"/>
            <w:tcBorders>
              <w:bottom w:val="single" w:sz="8" w:color="auto"/>
            </w:tcBorders>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374,292</w:t>
            </w:r>
          </w:p>
        </w:tc>
        <w:tc>
          <w:tcPr>
            <w:tcW w:w="240" w:type="dxa"/>
            <w:vAlign w:val="bottom"/>
            <w:tcBorders>
              <w:bottom w:val="single" w:sz="8" w:color="CFF0FC"/>
            </w:tcBorders>
          </w:tcPr>
          <w:p>
            <w:pPr>
              <w:spacing w:after="0"/>
              <w:rPr>
                <w:sz w:val="24"/>
                <w:szCs w:val="24"/>
                <w:color w:val="auto"/>
              </w:rPr>
            </w:pPr>
          </w:p>
        </w:tc>
        <w:tc>
          <w:tcPr>
            <w:tcW w:w="20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1,136,067</w:t>
            </w:r>
          </w:p>
        </w:tc>
        <w:tc>
          <w:tcPr>
            <w:tcW w:w="220" w:type="dxa"/>
            <w:vAlign w:val="bottom"/>
            <w:tcBorders>
              <w:bottom w:val="single" w:sz="8" w:color="CFF0FC"/>
            </w:tcBorders>
          </w:tcPr>
          <w:p>
            <w:pPr>
              <w:spacing w:after="0"/>
              <w:rPr>
                <w:sz w:val="24"/>
                <w:szCs w:val="24"/>
                <w:color w:val="auto"/>
              </w:rPr>
            </w:pPr>
          </w:p>
        </w:tc>
        <w:tc>
          <w:tcPr>
            <w:tcW w:w="20" w:type="dxa"/>
            <w:vAlign w:val="bottom"/>
            <w:tcBorders>
              <w:bottom w:val="single" w:sz="8" w:color="CFF0FC"/>
            </w:tcBorders>
          </w:tcPr>
          <w:p>
            <w:pPr>
              <w:spacing w:after="0"/>
              <w:rPr>
                <w:sz w:val="24"/>
                <w:szCs w:val="24"/>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6"/>
                <w:szCs w:val="16"/>
                <w:color w:val="auto"/>
                <w:w w:val="74"/>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1,075,330</w:t>
            </w:r>
          </w:p>
        </w:tc>
        <w:tc>
          <w:tcPr>
            <w:tcW w:w="120" w:type="dxa"/>
            <w:vAlign w:val="bottom"/>
            <w:tcBorders>
              <w:bottom w:val="single" w:sz="8" w:color="CFF0F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vMerge w:val="restart"/>
          </w:tcPr>
          <w:p>
            <w:pPr>
              <w:spacing w:after="0"/>
              <w:rPr>
                <w:sz w:val="19"/>
                <w:szCs w:val="19"/>
                <w:color w:val="auto"/>
              </w:rPr>
            </w:pPr>
          </w:p>
        </w:tc>
        <w:tc>
          <w:tcPr>
            <w:tcW w:w="590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200" w:type="dxa"/>
            <w:vAlign w:val="bottom"/>
            <w:shd w:val="clear" w:color="auto" w:fill="CFF0FC"/>
          </w:tcPr>
          <w:p>
            <w:pPr>
              <w:spacing w:after="0"/>
              <w:rPr>
                <w:sz w:val="19"/>
                <w:szCs w:val="19"/>
                <w:color w:val="auto"/>
              </w:rPr>
            </w:pPr>
          </w:p>
        </w:tc>
        <w:tc>
          <w:tcPr>
            <w:tcW w:w="9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2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120" w:type="dxa"/>
            <w:vAlign w:val="bottom"/>
            <w:shd w:val="clear" w:color="auto" w:fill="CFF0FC"/>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20" w:type="dxa"/>
            <w:vAlign w:val="bottom"/>
            <w:vMerge w:val="continue"/>
          </w:tcPr>
          <w:p>
            <w:pPr>
              <w:spacing w:after="0"/>
              <w:rPr>
                <w:sz w:val="21"/>
                <w:szCs w:val="21"/>
                <w:color w:val="auto"/>
              </w:rPr>
            </w:pPr>
          </w:p>
        </w:tc>
        <w:tc>
          <w:tcPr>
            <w:tcW w:w="59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Income from Operations by Segment:</w:t>
            </w: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Transportation</w:t>
            </w:r>
          </w:p>
        </w:tc>
        <w:tc>
          <w:tcPr>
            <w:tcW w:w="240" w:type="dxa"/>
            <w:vAlign w:val="bottom"/>
            <w:shd w:val="clear" w:color="auto" w:fill="CFF0FC"/>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gridSpan w:val="2"/>
            <w:shd w:val="clear" w:color="auto" w:fill="CFF0FC"/>
          </w:tcPr>
          <w:p>
            <w:pPr>
              <w:jc w:val="right"/>
              <w:ind w:right="160"/>
              <w:spacing w:after="0"/>
              <w:rPr>
                <w:sz w:val="20"/>
                <w:szCs w:val="20"/>
                <w:color w:val="auto"/>
              </w:rPr>
            </w:pPr>
            <w:r>
              <w:rPr>
                <w:rFonts w:ascii="Times New Roman" w:cs="Times New Roman" w:eastAsia="Times New Roman" w:hAnsi="Times New Roman"/>
                <w:sz w:val="20"/>
                <w:szCs w:val="20"/>
                <w:color w:val="auto"/>
              </w:rPr>
              <w:t>(17,224)</w:t>
            </w:r>
          </w:p>
        </w:tc>
        <w:tc>
          <w:tcPr>
            <w:tcW w:w="240" w:type="dxa"/>
            <w:vAlign w:val="bottom"/>
            <w:shd w:val="clear" w:color="auto" w:fill="CFF0FC"/>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11,885</w:t>
            </w:r>
          </w:p>
        </w:tc>
        <w:tc>
          <w:tcPr>
            <w:tcW w:w="240" w:type="dxa"/>
            <w:vAlign w:val="bottom"/>
            <w:shd w:val="clear" w:color="auto" w:fill="CFF0FC"/>
          </w:tcPr>
          <w:p>
            <w:pPr>
              <w:spacing w:after="0"/>
              <w:rPr>
                <w:sz w:val="21"/>
                <w:szCs w:val="21"/>
                <w:color w:val="auto"/>
              </w:rPr>
            </w:pPr>
          </w:p>
        </w:tc>
        <w:tc>
          <w:tcPr>
            <w:tcW w:w="200" w:type="dxa"/>
            <w:vAlign w:val="bottom"/>
            <w:shd w:val="clear" w:color="auto" w:fill="CFF0FC"/>
          </w:tcPr>
          <w:p>
            <w:pPr>
              <w:jc w:val="right"/>
              <w:ind w:right="3"/>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8,601</w:t>
            </w:r>
          </w:p>
        </w:tc>
        <w:tc>
          <w:tcPr>
            <w:tcW w:w="220" w:type="dxa"/>
            <w:vAlign w:val="bottom"/>
            <w:shd w:val="clear" w:color="auto" w:fill="CFF0FC"/>
          </w:tcPr>
          <w:p>
            <w:pPr>
              <w:spacing w:after="0"/>
              <w:rPr>
                <w:sz w:val="21"/>
                <w:szCs w:val="21"/>
                <w:color w:val="auto"/>
              </w:rPr>
            </w:pPr>
          </w:p>
        </w:tc>
        <w:tc>
          <w:tcPr>
            <w:tcW w:w="240" w:type="dxa"/>
            <w:vAlign w:val="bottom"/>
            <w:gridSpan w:val="2"/>
            <w:shd w:val="clear" w:color="auto" w:fill="CFF0FC"/>
          </w:tcPr>
          <w:p>
            <w:pPr>
              <w:jc w:val="right"/>
              <w:ind w:right="55"/>
              <w:spacing w:after="0"/>
              <w:rPr>
                <w:sz w:val="20"/>
                <w:szCs w:val="20"/>
                <w:color w:val="auto"/>
              </w:rPr>
            </w:pPr>
            <w:r>
              <w:rPr>
                <w:rFonts w:ascii="Times New Roman" w:cs="Times New Roman" w:eastAsia="Times New Roman" w:hAnsi="Times New Roman"/>
                <w:sz w:val="20"/>
                <w:szCs w:val="20"/>
                <w:color w:val="auto"/>
                <w:w w:val="79"/>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32,273</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tcPr>
          <w:p>
            <w:pPr>
              <w:ind w:left="240"/>
              <w:spacing w:after="0"/>
              <w:rPr>
                <w:sz w:val="20"/>
                <w:szCs w:val="20"/>
                <w:color w:val="auto"/>
              </w:rPr>
            </w:pPr>
            <w:r>
              <w:rPr>
                <w:rFonts w:ascii="Times New Roman" w:cs="Times New Roman" w:eastAsia="Times New Roman" w:hAnsi="Times New Roman"/>
                <w:sz w:val="20"/>
                <w:szCs w:val="20"/>
                <w:color w:val="auto"/>
              </w:rPr>
              <w:t>Logistics</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9,796</w:t>
            </w:r>
          </w:p>
        </w:tc>
        <w:tc>
          <w:tcPr>
            <w:tcW w:w="2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10,503</w:t>
            </w:r>
          </w:p>
        </w:tc>
        <w:tc>
          <w:tcPr>
            <w:tcW w:w="2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40,955</w:t>
            </w:r>
          </w:p>
        </w:tc>
        <w:tc>
          <w:tcPr>
            <w:tcW w:w="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32,950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5900" w:type="dxa"/>
            <w:vAlign w:val="bottom"/>
            <w:shd w:val="clear" w:color="auto" w:fill="CFF0FC"/>
          </w:tcPr>
          <w:p>
            <w:pPr>
              <w:ind w:left="240"/>
              <w:spacing w:after="0"/>
              <w:rPr>
                <w:sz w:val="20"/>
                <w:szCs w:val="20"/>
                <w:color w:val="auto"/>
              </w:rPr>
            </w:pPr>
            <w:r>
              <w:rPr>
                <w:rFonts w:ascii="Times New Roman" w:cs="Times New Roman" w:eastAsia="Times New Roman" w:hAnsi="Times New Roman"/>
                <w:sz w:val="20"/>
                <w:szCs w:val="20"/>
                <w:color w:val="auto"/>
              </w:rPr>
              <w:t>Other</w:t>
            </w:r>
          </w:p>
        </w:tc>
        <w:tc>
          <w:tcPr>
            <w:tcW w:w="240" w:type="dxa"/>
            <w:vAlign w:val="bottom"/>
            <w:tcBorders>
              <w:bottom w:val="single" w:sz="8" w:color="auto"/>
            </w:tcBorders>
            <w:shd w:val="clear" w:color="auto" w:fill="CFF0FC"/>
          </w:tcPr>
          <w:p>
            <w:pPr>
              <w:spacing w:after="0"/>
              <w:rPr>
                <w:sz w:val="21"/>
                <w:szCs w:val="21"/>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75</w:t>
            </w:r>
          </w:p>
        </w:tc>
        <w:tc>
          <w:tcPr>
            <w:tcW w:w="240" w:type="dxa"/>
            <w:vAlign w:val="bottom"/>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142</w:t>
            </w:r>
          </w:p>
        </w:tc>
        <w:tc>
          <w:tcPr>
            <w:tcW w:w="240" w:type="dxa"/>
            <w:vAlign w:val="bottom"/>
            <w:shd w:val="clear" w:color="auto" w:fill="CFF0FC"/>
          </w:tcPr>
          <w:p>
            <w:pPr>
              <w:spacing w:after="0"/>
              <w:rPr>
                <w:sz w:val="21"/>
                <w:szCs w:val="21"/>
                <w:color w:val="auto"/>
              </w:rPr>
            </w:pPr>
          </w:p>
        </w:tc>
        <w:tc>
          <w:tcPr>
            <w:tcW w:w="200" w:type="dxa"/>
            <w:vAlign w:val="bottom"/>
            <w:tcBorders>
              <w:bottom w:val="single" w:sz="8" w:color="auto"/>
            </w:tcBorders>
            <w:shd w:val="clear" w:color="auto" w:fill="CFF0FC"/>
          </w:tcPr>
          <w:p>
            <w:pPr>
              <w:spacing w:after="0"/>
              <w:rPr>
                <w:sz w:val="21"/>
                <w:szCs w:val="21"/>
                <w:color w:val="auto"/>
              </w:rPr>
            </w:pPr>
          </w:p>
        </w:tc>
        <w:tc>
          <w:tcPr>
            <w:tcW w:w="98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320</w:t>
            </w:r>
          </w:p>
        </w:tc>
        <w:tc>
          <w:tcPr>
            <w:tcW w:w="220" w:type="dxa"/>
            <w:vAlign w:val="bottom"/>
            <w:shd w:val="clear" w:color="auto" w:fill="CFF0FC"/>
          </w:tcPr>
          <w:p>
            <w:pPr>
              <w:spacing w:after="0"/>
              <w:rPr>
                <w:sz w:val="21"/>
                <w:szCs w:val="21"/>
                <w:color w:val="auto"/>
              </w:rPr>
            </w:pPr>
          </w:p>
        </w:tc>
        <w:tc>
          <w:tcPr>
            <w:tcW w:w="20" w:type="dxa"/>
            <w:vAlign w:val="bottom"/>
            <w:shd w:val="clear" w:color="auto" w:fill="CFF0FC"/>
          </w:tcPr>
          <w:p>
            <w:pPr>
              <w:spacing w:after="0"/>
              <w:rPr>
                <w:sz w:val="21"/>
                <w:szCs w:val="21"/>
                <w:color w:val="auto"/>
              </w:rPr>
            </w:pPr>
          </w:p>
        </w:tc>
        <w:tc>
          <w:tcPr>
            <w:tcW w:w="220" w:type="dxa"/>
            <w:vAlign w:val="bottom"/>
            <w:tcBorders>
              <w:bottom w:val="single" w:sz="8" w:color="auto"/>
            </w:tcBorders>
            <w:shd w:val="clear" w:color="auto" w:fill="CFF0FC"/>
          </w:tcPr>
          <w:p>
            <w:pPr>
              <w:spacing w:after="0"/>
              <w:rPr>
                <w:sz w:val="21"/>
                <w:szCs w:val="21"/>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663</w:t>
            </w:r>
          </w:p>
        </w:tc>
        <w:tc>
          <w:tcPr>
            <w:tcW w:w="120" w:type="dxa"/>
            <w:vAlign w:val="bottom"/>
            <w:shd w:val="clear" w:color="auto" w:fill="CFF0FC"/>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5900" w:type="dxa"/>
            <w:vAlign w:val="bottom"/>
          </w:tcPr>
          <w:p>
            <w:pPr>
              <w:ind w:left="360"/>
              <w:spacing w:after="0"/>
              <w:rPr>
                <w:sz w:val="20"/>
                <w:szCs w:val="20"/>
                <w:color w:val="auto"/>
              </w:rPr>
            </w:pPr>
            <w:r>
              <w:rPr>
                <w:rFonts w:ascii="Times New Roman" w:cs="Times New Roman" w:eastAsia="Times New Roman" w:hAnsi="Times New Roman"/>
                <w:sz w:val="20"/>
                <w:szCs w:val="20"/>
                <w:color w:val="auto"/>
              </w:rPr>
              <w:t>Total</w:t>
            </w:r>
          </w:p>
        </w:tc>
        <w:tc>
          <w:tcPr>
            <w:tcW w:w="240" w:type="dxa"/>
            <w:vAlign w:val="bottom"/>
            <w:tcBorders>
              <w:bottom w:val="single" w:sz="8" w:color="auto"/>
            </w:tcBorders>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(7,353)</w:t>
            </w:r>
          </w:p>
        </w:tc>
        <w:tc>
          <w:tcPr>
            <w:tcW w:w="240" w:type="dxa"/>
            <w:vAlign w:val="bottom"/>
          </w:tcPr>
          <w:p>
            <w:pPr>
              <w:spacing w:after="0"/>
              <w:rPr>
                <w:sz w:val="20"/>
                <w:szCs w:val="20"/>
                <w:color w:val="auto"/>
              </w:rPr>
            </w:pPr>
          </w:p>
        </w:tc>
        <w:tc>
          <w:tcPr>
            <w:tcW w:w="240" w:type="dxa"/>
            <w:vAlign w:val="bottom"/>
            <w:tcBorders>
              <w:bottom w:val="single" w:sz="8" w:color="auto"/>
            </w:tcBorders>
          </w:tcPr>
          <w:p>
            <w:pPr>
              <w:jc w:val="right"/>
              <w:ind w:right="43"/>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22,530</w:t>
            </w:r>
          </w:p>
        </w:tc>
        <w:tc>
          <w:tcPr>
            <w:tcW w:w="240" w:type="dxa"/>
            <w:vAlign w:val="bottom"/>
          </w:tcPr>
          <w:p>
            <w:pPr>
              <w:spacing w:after="0"/>
              <w:rPr>
                <w:sz w:val="20"/>
                <w:szCs w:val="20"/>
                <w:color w:val="auto"/>
              </w:rPr>
            </w:pPr>
          </w:p>
        </w:tc>
        <w:tc>
          <w:tcPr>
            <w:tcW w:w="200" w:type="dxa"/>
            <w:vAlign w:val="bottom"/>
            <w:tcBorders>
              <w:bottom w:val="single" w:sz="8" w:color="auto"/>
            </w:tcBorders>
          </w:tcPr>
          <w:p>
            <w:pPr>
              <w:jc w:val="right"/>
              <w:ind w:right="3"/>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49,876</w:t>
            </w:r>
          </w:p>
        </w:tc>
        <w:tc>
          <w:tcPr>
            <w:tcW w:w="22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22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6"/>
                <w:szCs w:val="16"/>
                <w:color w:val="auto"/>
                <w:w w:val="74"/>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65,886</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84"/>
        </w:trPr>
        <w:tc>
          <w:tcPr>
            <w:tcW w:w="20" w:type="dxa"/>
            <w:vAlign w:val="bottom"/>
          </w:tcPr>
          <w:p>
            <w:pPr>
              <w:spacing w:after="0"/>
              <w:rPr>
                <w:sz w:val="24"/>
                <w:szCs w:val="24"/>
                <w:color w:val="auto"/>
              </w:rPr>
            </w:pPr>
          </w:p>
        </w:tc>
        <w:tc>
          <w:tcPr>
            <w:tcW w:w="590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92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92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00" w:type="dxa"/>
            <w:vAlign w:val="bottom"/>
            <w:tcBorders>
              <w:bottom w:val="single" w:sz="8" w:color="9A9A9A"/>
            </w:tcBorders>
          </w:tcPr>
          <w:p>
            <w:pPr>
              <w:spacing w:after="0"/>
              <w:rPr>
                <w:sz w:val="24"/>
                <w:szCs w:val="24"/>
                <w:color w:val="auto"/>
              </w:rPr>
            </w:pPr>
          </w:p>
        </w:tc>
        <w:tc>
          <w:tcPr>
            <w:tcW w:w="98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94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7247255</wp:posOffset>
            </wp:positionH>
            <wp:positionV relativeFrom="paragraph">
              <wp:posOffset>-29210</wp:posOffset>
            </wp:positionV>
            <wp:extent cx="3429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4290"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440"/>
          </w:cols>
          <w:pgMar w:left="240" w:top="114" w:right="21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20"/>
          <w:szCs w:val="20"/>
          <w:b w:val="1"/>
          <w:bCs w:val="1"/>
          <w:color w:val="auto"/>
        </w:rPr>
        <w:t>Non-GAAP Financial Measures</w:t>
      </w:r>
    </w:p>
    <w:p>
      <w:pPr>
        <w:spacing w:after="0" w:line="219"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In addition to providing consolidated financial statements based on generally accepted accounting principles in the United States of America (GAAP), we are providing additional financial measures that are not required by or prepared in accordance with GAAP (non-GAAP). We present EBITDA and EBITDA margin, each a non-GAAP measure, as supplemental measures of our performance. We define EBITDA as net income plus (i) interest expense, net, (ii) income taxes, (iii) depreciation, and (iv) amortization. We define EBITDA margin as EBITDA as a percentage of total operating revenues. You are encouraged to evaluate these adjustments and the reasons we consider them appropriate for supplemental analysis.</w:t>
      </w:r>
    </w:p>
    <w:p>
      <w:pPr>
        <w:spacing w:after="0" w:line="18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accordance with the requirements of Regulation G issued by the Securities and Exchange Commission, we are presenting the most directly comparable GAAP financial measure and reconciling the non-GAAP financial measure to the comparable GAAP measure. Set forth below is a reconciliation of net income, the most comparable GAAP measure, to EBITDA for each of the periods indicated:</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562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2400" w:type="dxa"/>
            <w:vAlign w:val="bottom"/>
            <w:tcBorders>
              <w:bottom w:val="single" w:sz="8" w:color="auto"/>
            </w:tcBorders>
            <w:gridSpan w:val="5"/>
          </w:tcPr>
          <w:p>
            <w:pPr>
              <w:jc w:val="right"/>
              <w:ind w:right="362"/>
              <w:spacing w:after="0"/>
              <w:rPr>
                <w:sz w:val="20"/>
                <w:szCs w:val="20"/>
                <w:color w:val="auto"/>
              </w:rPr>
            </w:pPr>
            <w:r>
              <w:rPr>
                <w:rFonts w:ascii="Times New Roman" w:cs="Times New Roman" w:eastAsia="Times New Roman" w:hAnsi="Times New Roman"/>
                <w:sz w:val="18"/>
                <w:szCs w:val="18"/>
                <w:b w:val="1"/>
                <w:bCs w:val="1"/>
                <w:color w:val="auto"/>
              </w:rPr>
              <w:t>Thirteen Weeks Ended</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2440" w:type="dxa"/>
            <w:vAlign w:val="bottom"/>
            <w:tcBorders>
              <w:bottom w:val="single" w:sz="8" w:color="auto"/>
            </w:tcBorders>
            <w:gridSpan w:val="5"/>
          </w:tcPr>
          <w:p>
            <w:pPr>
              <w:jc w:val="right"/>
              <w:ind w:right="242"/>
              <w:spacing w:after="0"/>
              <w:rPr>
                <w:sz w:val="20"/>
                <w:szCs w:val="20"/>
                <w:color w:val="auto"/>
              </w:rPr>
            </w:pPr>
            <w:r>
              <w:rPr>
                <w:rFonts w:ascii="Times New Roman" w:cs="Times New Roman" w:eastAsia="Times New Roman" w:hAnsi="Times New Roman"/>
                <w:sz w:val="18"/>
                <w:szCs w:val="18"/>
                <w:b w:val="1"/>
                <w:bCs w:val="1"/>
                <w:color w:val="auto"/>
              </w:rPr>
              <w:t>Thirty-nine Weeks Ended</w:t>
            </w:r>
          </w:p>
        </w:tc>
        <w:tc>
          <w:tcPr>
            <w:tcW w:w="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5620" w:type="dxa"/>
            <w:vAlign w:val="bottom"/>
          </w:tcPr>
          <w:p>
            <w:pPr>
              <w:spacing w:after="0"/>
              <w:rPr>
                <w:sz w:val="20"/>
                <w:szCs w:val="20"/>
                <w:color w:val="auto"/>
              </w:rPr>
            </w:pPr>
          </w:p>
        </w:tc>
        <w:tc>
          <w:tcPr>
            <w:tcW w:w="1400" w:type="dxa"/>
            <w:vAlign w:val="bottom"/>
            <w:gridSpan w:val="3"/>
          </w:tcPr>
          <w:p>
            <w:pPr>
              <w:ind w:left="20"/>
              <w:spacing w:after="0"/>
              <w:rPr>
                <w:sz w:val="20"/>
                <w:szCs w:val="20"/>
                <w:color w:val="auto"/>
              </w:rPr>
            </w:pPr>
            <w:r>
              <w:rPr>
                <w:rFonts w:ascii="Times New Roman" w:cs="Times New Roman" w:eastAsia="Times New Roman" w:hAnsi="Times New Roman"/>
                <w:sz w:val="18"/>
                <w:szCs w:val="18"/>
                <w:b w:val="1"/>
                <w:bCs w:val="1"/>
                <w:color w:val="auto"/>
              </w:rPr>
              <w:t>September 28,</w:t>
            </w:r>
          </w:p>
        </w:tc>
        <w:tc>
          <w:tcPr>
            <w:tcW w:w="80" w:type="dxa"/>
            <w:vAlign w:val="bottom"/>
          </w:tcPr>
          <w:p>
            <w:pPr>
              <w:spacing w:after="0"/>
              <w:rPr>
                <w:sz w:val="20"/>
                <w:szCs w:val="20"/>
                <w:color w:val="auto"/>
              </w:rPr>
            </w:pPr>
          </w:p>
        </w:tc>
        <w:tc>
          <w:tcPr>
            <w:tcW w:w="140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w w:val="99"/>
              </w:rPr>
              <w:t>September 29,</w:t>
            </w:r>
          </w:p>
        </w:tc>
        <w:tc>
          <w:tcPr>
            <w:tcW w:w="80" w:type="dxa"/>
            <w:vAlign w:val="bottom"/>
          </w:tcPr>
          <w:p>
            <w:pPr>
              <w:spacing w:after="0"/>
              <w:rPr>
                <w:sz w:val="20"/>
                <w:szCs w:val="20"/>
                <w:color w:val="auto"/>
              </w:rPr>
            </w:pPr>
          </w:p>
        </w:tc>
        <w:tc>
          <w:tcPr>
            <w:tcW w:w="1400" w:type="dxa"/>
            <w:vAlign w:val="bottom"/>
            <w:gridSpan w:val="3"/>
          </w:tcPr>
          <w:p>
            <w:pPr>
              <w:jc w:val="right"/>
              <w:ind w:right="280"/>
              <w:spacing w:after="0"/>
              <w:rPr>
                <w:sz w:val="20"/>
                <w:szCs w:val="20"/>
                <w:color w:val="auto"/>
              </w:rPr>
            </w:pPr>
            <w:r>
              <w:rPr>
                <w:rFonts w:ascii="Times New Roman" w:cs="Times New Roman" w:eastAsia="Times New Roman" w:hAnsi="Times New Roman"/>
                <w:sz w:val="18"/>
                <w:szCs w:val="18"/>
                <w:b w:val="1"/>
                <w:bCs w:val="1"/>
                <w:color w:val="auto"/>
                <w:w w:val="99"/>
              </w:rPr>
              <w:t>September 28,</w:t>
            </w:r>
          </w:p>
        </w:tc>
        <w:tc>
          <w:tcPr>
            <w:tcW w:w="80" w:type="dxa"/>
            <w:vAlign w:val="bottom"/>
          </w:tcPr>
          <w:p>
            <w:pPr>
              <w:spacing w:after="0"/>
              <w:rPr>
                <w:sz w:val="20"/>
                <w:szCs w:val="20"/>
                <w:color w:val="auto"/>
              </w:rPr>
            </w:pPr>
          </w:p>
        </w:tc>
        <w:tc>
          <w:tcPr>
            <w:tcW w:w="1360" w:type="dxa"/>
            <w:vAlign w:val="bottom"/>
            <w:gridSpan w:val="3"/>
          </w:tcPr>
          <w:p>
            <w:pPr>
              <w:jc w:val="right"/>
              <w:ind w:right="220"/>
              <w:spacing w:after="0"/>
              <w:rPr>
                <w:sz w:val="20"/>
                <w:szCs w:val="20"/>
                <w:color w:val="auto"/>
              </w:rPr>
            </w:pPr>
            <w:r>
              <w:rPr>
                <w:rFonts w:ascii="Times New Roman" w:cs="Times New Roman" w:eastAsia="Times New Roman" w:hAnsi="Times New Roman"/>
                <w:sz w:val="18"/>
                <w:szCs w:val="18"/>
                <w:b w:val="1"/>
                <w:bCs w:val="1"/>
                <w:color w:val="auto"/>
              </w:rPr>
              <w:t>September 29,</w:t>
            </w:r>
          </w:p>
        </w:tc>
        <w:tc>
          <w:tcPr>
            <w:tcW w:w="0" w:type="dxa"/>
            <w:vAlign w:val="bottom"/>
          </w:tcPr>
          <w:p>
            <w:pPr>
              <w:spacing w:after="0"/>
              <w:rPr>
                <w:sz w:val="1"/>
                <w:szCs w:val="1"/>
                <w:color w:val="auto"/>
              </w:rPr>
            </w:pPr>
          </w:p>
        </w:tc>
      </w:tr>
      <w:tr>
        <w:trPr>
          <w:trHeight w:val="243"/>
        </w:trPr>
        <w:tc>
          <w:tcPr>
            <w:tcW w:w="5620" w:type="dxa"/>
            <w:vAlign w:val="bottom"/>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323"/>
              <w:spacing w:after="0"/>
              <w:rPr>
                <w:sz w:val="20"/>
                <w:szCs w:val="20"/>
                <w:color w:val="auto"/>
              </w:rPr>
            </w:pPr>
            <w:r>
              <w:rPr>
                <w:rFonts w:ascii="Times New Roman" w:cs="Times New Roman" w:eastAsia="Times New Roman" w:hAnsi="Times New Roman"/>
                <w:sz w:val="18"/>
                <w:szCs w:val="18"/>
                <w:b w:val="1"/>
                <w:bCs w:val="1"/>
                <w:color w:val="auto"/>
              </w:rPr>
              <w:t>2019</w:t>
            </w:r>
          </w:p>
        </w:tc>
        <w:tc>
          <w:tcPr>
            <w:tcW w:w="24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302"/>
              <w:spacing w:after="0"/>
              <w:rPr>
                <w:sz w:val="20"/>
                <w:szCs w:val="20"/>
                <w:color w:val="auto"/>
              </w:rPr>
            </w:pPr>
            <w:r>
              <w:rPr>
                <w:rFonts w:ascii="Times New Roman" w:cs="Times New Roman" w:eastAsia="Times New Roman" w:hAnsi="Times New Roman"/>
                <w:sz w:val="18"/>
                <w:szCs w:val="18"/>
                <w:b w:val="1"/>
                <w:bCs w:val="1"/>
                <w:color w:val="auto"/>
              </w:rPr>
              <w:t>2018</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303"/>
              <w:spacing w:after="0"/>
              <w:rPr>
                <w:sz w:val="20"/>
                <w:szCs w:val="20"/>
                <w:color w:val="auto"/>
              </w:rPr>
            </w:pPr>
            <w:r>
              <w:rPr>
                <w:rFonts w:ascii="Times New Roman" w:cs="Times New Roman" w:eastAsia="Times New Roman" w:hAnsi="Times New Roman"/>
                <w:sz w:val="18"/>
                <w:szCs w:val="18"/>
                <w:b w:val="1"/>
                <w:bCs w:val="1"/>
                <w:color w:val="auto"/>
              </w:rPr>
              <w:t>2019</w:t>
            </w:r>
          </w:p>
        </w:tc>
        <w:tc>
          <w:tcPr>
            <w:tcW w:w="24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322"/>
              <w:spacing w:after="0"/>
              <w:rPr>
                <w:sz w:val="20"/>
                <w:szCs w:val="20"/>
                <w:color w:val="auto"/>
              </w:rPr>
            </w:pPr>
            <w:r>
              <w:rPr>
                <w:rFonts w:ascii="Times New Roman" w:cs="Times New Roman" w:eastAsia="Times New Roman" w:hAnsi="Times New Roman"/>
                <w:sz w:val="18"/>
                <w:szCs w:val="18"/>
                <w:b w:val="1"/>
                <w:bCs w:val="1"/>
                <w:color w:val="auto"/>
              </w:rPr>
              <w:t>2018</w:t>
            </w: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2"/>
        </w:trPr>
        <w:tc>
          <w:tcPr>
            <w:tcW w:w="562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EBITDA</w:t>
            </w:r>
          </w:p>
        </w:tc>
        <w:tc>
          <w:tcPr>
            <w:tcW w:w="240" w:type="dxa"/>
            <w:vAlign w:val="bottom"/>
          </w:tcPr>
          <w:p>
            <w:pPr>
              <w:spacing w:after="0"/>
              <w:rPr>
                <w:sz w:val="21"/>
                <w:szCs w:val="21"/>
                <w:color w:val="auto"/>
              </w:rPr>
            </w:pPr>
          </w:p>
        </w:tc>
        <w:tc>
          <w:tcPr>
            <w:tcW w:w="2400" w:type="dxa"/>
            <w:vAlign w:val="bottom"/>
            <w:gridSpan w:val="5"/>
          </w:tcPr>
          <w:p>
            <w:pPr>
              <w:jc w:val="right"/>
              <w:ind w:right="642"/>
              <w:spacing w:after="0"/>
              <w:rPr>
                <w:sz w:val="20"/>
                <w:szCs w:val="20"/>
                <w:color w:val="auto"/>
              </w:rPr>
            </w:pPr>
            <w:r>
              <w:rPr>
                <w:rFonts w:ascii="Times New Roman" w:cs="Times New Roman" w:eastAsia="Times New Roman" w:hAnsi="Times New Roman"/>
                <w:sz w:val="20"/>
                <w:szCs w:val="20"/>
                <w:color w:val="auto"/>
              </w:rPr>
              <w:t>( in thousands)</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40" w:type="dxa"/>
            <w:vAlign w:val="bottom"/>
            <w:gridSpan w:val="5"/>
          </w:tcPr>
          <w:p>
            <w:pPr>
              <w:jc w:val="right"/>
              <w:ind w:right="662"/>
              <w:spacing w:after="0"/>
              <w:rPr>
                <w:sz w:val="20"/>
                <w:szCs w:val="20"/>
                <w:color w:val="auto"/>
              </w:rPr>
            </w:pPr>
            <w:r>
              <w:rPr>
                <w:rFonts w:ascii="Times New Roman" w:cs="Times New Roman" w:eastAsia="Times New Roman" w:hAnsi="Times New Roman"/>
                <w:sz w:val="20"/>
                <w:szCs w:val="20"/>
                <w:color w:val="auto"/>
              </w:rPr>
              <w:t>( in thousands)</w:t>
            </w: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28"/>
        </w:trPr>
        <w:tc>
          <w:tcPr>
            <w:tcW w:w="5620" w:type="dxa"/>
            <w:vAlign w:val="bottom"/>
            <w:vMerge w:val="continue"/>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5620" w:type="dxa"/>
            <w:vAlign w:val="bottom"/>
            <w:shd w:val="clear" w:color="auto" w:fill="CFF0FC"/>
          </w:tcPr>
          <w:p>
            <w:pPr>
              <w:ind w:left="260"/>
              <w:spacing w:after="0"/>
              <w:rPr>
                <w:sz w:val="20"/>
                <w:szCs w:val="20"/>
                <w:color w:val="auto"/>
              </w:rPr>
            </w:pPr>
            <w:r>
              <w:rPr>
                <w:rFonts w:ascii="Times New Roman" w:cs="Times New Roman" w:eastAsia="Times New Roman" w:hAnsi="Times New Roman"/>
                <w:sz w:val="20"/>
                <w:szCs w:val="20"/>
                <w:color w:val="auto"/>
              </w:rPr>
              <w:t>Net (loss) income</w:t>
            </w:r>
          </w:p>
        </w:tc>
        <w:tc>
          <w:tcPr>
            <w:tcW w:w="240" w:type="dxa"/>
            <w:vAlign w:val="bottom"/>
            <w:shd w:val="clear" w:color="auto" w:fill="CFF0FC"/>
          </w:tcPr>
          <w:p>
            <w:pPr>
              <w:spacing w:after="0"/>
              <w:rPr>
                <w:sz w:val="20"/>
                <w:szCs w:val="20"/>
                <w:color w:val="auto"/>
              </w:rPr>
            </w:pPr>
            <w:r>
              <w:rPr>
                <w:rFonts w:ascii="Times New Roman" w:cs="Times New Roman" w:eastAsia="Times New Roman" w:hAnsi="Times New Roman"/>
                <w:sz w:val="20"/>
                <w:szCs w:val="20"/>
                <w:color w:val="auto"/>
              </w:rPr>
              <w:t>$</w:t>
            </w:r>
          </w:p>
        </w:tc>
        <w:tc>
          <w:tcPr>
            <w:tcW w:w="1160" w:type="dxa"/>
            <w:vAlign w:val="bottom"/>
            <w:gridSpan w:val="2"/>
            <w:shd w:val="clear" w:color="auto" w:fill="CFF0FC"/>
          </w:tcPr>
          <w:p>
            <w:pPr>
              <w:jc w:val="right"/>
              <w:ind w:right="180"/>
              <w:spacing w:after="0"/>
              <w:rPr>
                <w:sz w:val="20"/>
                <w:szCs w:val="20"/>
                <w:color w:val="auto"/>
              </w:rPr>
            </w:pPr>
            <w:r>
              <w:rPr>
                <w:rFonts w:ascii="Times New Roman" w:cs="Times New Roman" w:eastAsia="Times New Roman" w:hAnsi="Times New Roman"/>
                <w:sz w:val="20"/>
                <w:szCs w:val="20"/>
                <w:color w:val="auto"/>
              </w:rPr>
              <w:t>(8,420)</w:t>
            </w:r>
          </w:p>
        </w:tc>
        <w:tc>
          <w:tcPr>
            <w:tcW w:w="320" w:type="dxa"/>
            <w:vAlign w:val="bottom"/>
            <w:gridSpan w:val="2"/>
            <w:shd w:val="clear" w:color="auto" w:fill="CFF0FC"/>
          </w:tcPr>
          <w:p>
            <w:pPr>
              <w:jc w:val="right"/>
              <w:ind w:right="45"/>
              <w:spacing w:after="0"/>
              <w:rPr>
                <w:sz w:val="20"/>
                <w:szCs w:val="20"/>
                <w:color w:val="auto"/>
              </w:rPr>
            </w:pPr>
            <w:r>
              <w:rPr>
                <w:rFonts w:ascii="Times New Roman" w:cs="Times New Roman" w:eastAsia="Times New Roman" w:hAnsi="Times New Roman"/>
                <w:sz w:val="20"/>
                <w:szCs w:val="20"/>
                <w:color w:val="auto"/>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15,055</w:t>
            </w:r>
          </w:p>
        </w:tc>
        <w:tc>
          <w:tcPr>
            <w:tcW w:w="240" w:type="dxa"/>
            <w:vAlign w:val="bottom"/>
            <w:shd w:val="clear" w:color="auto" w:fill="CFF0FC"/>
          </w:tcPr>
          <w:p>
            <w:pPr>
              <w:spacing w:after="0"/>
              <w:rPr>
                <w:sz w:val="21"/>
                <w:szCs w:val="21"/>
                <w:color w:val="auto"/>
              </w:rPr>
            </w:pPr>
          </w:p>
        </w:tc>
        <w:tc>
          <w:tcPr>
            <w:tcW w:w="300" w:type="dxa"/>
            <w:vAlign w:val="bottom"/>
            <w:gridSpan w:val="2"/>
            <w:shd w:val="clear" w:color="auto" w:fill="CFF0FC"/>
          </w:tcPr>
          <w:p>
            <w:pPr>
              <w:jc w:val="right"/>
              <w:ind w:right="25"/>
              <w:spacing w:after="0"/>
              <w:rPr>
                <w:sz w:val="20"/>
                <w:szCs w:val="20"/>
                <w:color w:val="auto"/>
              </w:rPr>
            </w:pPr>
            <w:r>
              <w:rPr>
                <w:rFonts w:ascii="Times New Roman" w:cs="Times New Roman" w:eastAsia="Times New Roman" w:hAnsi="Times New Roman"/>
                <w:sz w:val="20"/>
                <w:szCs w:val="20"/>
                <w:color w:val="auto"/>
              </w:rPr>
              <w:t>$</w:t>
            </w: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28,849</w:t>
            </w:r>
          </w:p>
        </w:tc>
        <w:tc>
          <w:tcPr>
            <w:tcW w:w="240" w:type="dxa"/>
            <w:vAlign w:val="bottom"/>
            <w:shd w:val="clear" w:color="auto" w:fill="CFF0FC"/>
          </w:tcPr>
          <w:p>
            <w:pPr>
              <w:spacing w:after="0"/>
              <w:rPr>
                <w:sz w:val="21"/>
                <w:szCs w:val="21"/>
                <w:color w:val="auto"/>
              </w:rPr>
            </w:pPr>
          </w:p>
        </w:tc>
        <w:tc>
          <w:tcPr>
            <w:tcW w:w="340" w:type="dxa"/>
            <w:vAlign w:val="bottom"/>
            <w:gridSpan w:val="2"/>
            <w:shd w:val="clear" w:color="auto" w:fill="CFF0FC"/>
          </w:tcPr>
          <w:p>
            <w:pPr>
              <w:jc w:val="right"/>
              <w:ind w:right="65"/>
              <w:spacing w:after="0"/>
              <w:rPr>
                <w:sz w:val="20"/>
                <w:szCs w:val="20"/>
                <w:color w:val="auto"/>
              </w:rPr>
            </w:pPr>
            <w:r>
              <w:rPr>
                <w:rFonts w:ascii="Times New Roman" w:cs="Times New Roman" w:eastAsia="Times New Roman" w:hAnsi="Times New Roman"/>
                <w:sz w:val="20"/>
                <w:szCs w:val="20"/>
                <w:color w:val="auto"/>
              </w:rPr>
              <w:t>$</w:t>
            </w: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43,158</w:t>
            </w:r>
          </w:p>
        </w:tc>
        <w:tc>
          <w:tcPr>
            <w:tcW w:w="18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Provision for income taxes</w:t>
            </w:r>
          </w:p>
        </w:tc>
        <w:tc>
          <w:tcPr>
            <w:tcW w:w="240" w:type="dxa"/>
            <w:vAlign w:val="bottom"/>
          </w:tcPr>
          <w:p>
            <w:pPr>
              <w:spacing w:after="0"/>
              <w:rPr>
                <w:sz w:val="21"/>
                <w:szCs w:val="21"/>
                <w:color w:val="auto"/>
              </w:rPr>
            </w:pPr>
          </w:p>
        </w:tc>
        <w:tc>
          <w:tcPr>
            <w:tcW w:w="116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(2,847)</w:t>
            </w: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4,918</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9,694</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14,606</w:t>
            </w: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shd w:val="clear" w:color="auto" w:fill="CFF0FC"/>
          </w:tcPr>
          <w:p>
            <w:pPr>
              <w:ind w:left="260"/>
              <w:spacing w:after="0"/>
              <w:rPr>
                <w:sz w:val="20"/>
                <w:szCs w:val="20"/>
                <w:color w:val="auto"/>
              </w:rPr>
            </w:pPr>
            <w:r>
              <w:rPr>
                <w:rFonts w:ascii="Times New Roman" w:cs="Times New Roman" w:eastAsia="Times New Roman" w:hAnsi="Times New Roman"/>
                <w:sz w:val="20"/>
                <w:szCs w:val="20"/>
                <w:color w:val="auto"/>
              </w:rPr>
              <w:t>Interest expense, net</w:t>
            </w: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4,077</w:t>
            </w:r>
          </w:p>
        </w:tc>
        <w:tc>
          <w:tcPr>
            <w:tcW w:w="2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24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4,303</w:t>
            </w:r>
          </w:p>
        </w:tc>
        <w:tc>
          <w:tcPr>
            <w:tcW w:w="2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220" w:type="dxa"/>
            <w:vAlign w:val="bottom"/>
            <w:shd w:val="clear" w:color="auto" w:fill="CFF0FC"/>
          </w:tcPr>
          <w:p>
            <w:pPr>
              <w:spacing w:after="0"/>
              <w:rPr>
                <w:sz w:val="21"/>
                <w:szCs w:val="21"/>
                <w:color w:val="auto"/>
              </w:rPr>
            </w:pPr>
          </w:p>
        </w:tc>
        <w:tc>
          <w:tcPr>
            <w:tcW w:w="94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12,545</w:t>
            </w:r>
          </w:p>
        </w:tc>
        <w:tc>
          <w:tcPr>
            <w:tcW w:w="2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260" w:type="dxa"/>
            <w:vAlign w:val="bottom"/>
            <w:shd w:val="clear" w:color="auto" w:fill="CFF0FC"/>
          </w:tcPr>
          <w:p>
            <w:pPr>
              <w:spacing w:after="0"/>
              <w:rPr>
                <w:sz w:val="21"/>
                <w:szCs w:val="21"/>
                <w:color w:val="auto"/>
              </w:rPr>
            </w:pPr>
          </w:p>
        </w:tc>
        <w:tc>
          <w:tcPr>
            <w:tcW w:w="920" w:type="dxa"/>
            <w:vAlign w:val="bottom"/>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9,810</w:t>
            </w:r>
          </w:p>
        </w:tc>
        <w:tc>
          <w:tcPr>
            <w:tcW w:w="18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Depreciation</w:t>
            </w: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14,479</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12,480</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40,655</w:t>
            </w:r>
          </w:p>
        </w:tc>
        <w:tc>
          <w:tcPr>
            <w:tcW w:w="2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36,218</w:t>
            </w:r>
          </w:p>
        </w:tc>
        <w:tc>
          <w:tcPr>
            <w:tcW w:w="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shd w:val="clear" w:color="auto" w:fill="CFF0FC"/>
          </w:tcPr>
          <w:p>
            <w:pPr>
              <w:ind w:left="260"/>
              <w:spacing w:after="0"/>
              <w:rPr>
                <w:sz w:val="20"/>
                <w:szCs w:val="20"/>
                <w:color w:val="auto"/>
              </w:rPr>
            </w:pPr>
            <w:r>
              <w:rPr>
                <w:rFonts w:ascii="Times New Roman" w:cs="Times New Roman" w:eastAsia="Times New Roman" w:hAnsi="Times New Roman"/>
                <w:sz w:val="20"/>
                <w:szCs w:val="20"/>
                <w:color w:val="auto"/>
              </w:rPr>
              <w:t>Amortization</w:t>
            </w:r>
          </w:p>
        </w:tc>
        <w:tc>
          <w:tcPr>
            <w:tcW w:w="240" w:type="dxa"/>
            <w:vAlign w:val="bottom"/>
            <w:tcBorders>
              <w:bottom w:val="single" w:sz="8" w:color="auto"/>
            </w:tcBorders>
            <w:shd w:val="clear" w:color="auto" w:fill="CFF0FC"/>
          </w:tcPr>
          <w:p>
            <w:pPr>
              <w:spacing w:after="0"/>
              <w:rPr>
                <w:sz w:val="21"/>
                <w:szCs w:val="21"/>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4,328</w:t>
            </w:r>
          </w:p>
        </w:tc>
        <w:tc>
          <w:tcPr>
            <w:tcW w:w="2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240" w:type="dxa"/>
            <w:vAlign w:val="bottom"/>
            <w:tcBorders>
              <w:bottom w:val="single" w:sz="8" w:color="auto"/>
            </w:tcBorders>
            <w:shd w:val="clear" w:color="auto" w:fill="CFF0FC"/>
          </w:tcPr>
          <w:p>
            <w:pPr>
              <w:spacing w:after="0"/>
              <w:rPr>
                <w:sz w:val="21"/>
                <w:szCs w:val="21"/>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1,503</w:t>
            </w:r>
          </w:p>
        </w:tc>
        <w:tc>
          <w:tcPr>
            <w:tcW w:w="2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220" w:type="dxa"/>
            <w:vAlign w:val="bottom"/>
            <w:tcBorders>
              <w:bottom w:val="single" w:sz="8" w:color="auto"/>
            </w:tcBorders>
            <w:shd w:val="clear" w:color="auto" w:fill="CFF0FC"/>
          </w:tcPr>
          <w:p>
            <w:pPr>
              <w:spacing w:after="0"/>
              <w:rPr>
                <w:sz w:val="21"/>
                <w:szCs w:val="21"/>
                <w:color w:val="auto"/>
              </w:rPr>
            </w:pPr>
          </w:p>
        </w:tc>
        <w:tc>
          <w:tcPr>
            <w:tcW w:w="94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12,485</w:t>
            </w:r>
          </w:p>
        </w:tc>
        <w:tc>
          <w:tcPr>
            <w:tcW w:w="240" w:type="dxa"/>
            <w:vAlign w:val="bottom"/>
            <w:shd w:val="clear" w:color="auto" w:fill="CFF0FC"/>
          </w:tcPr>
          <w:p>
            <w:pPr>
              <w:spacing w:after="0"/>
              <w:rPr>
                <w:sz w:val="21"/>
                <w:szCs w:val="21"/>
                <w:color w:val="auto"/>
              </w:rPr>
            </w:pPr>
          </w:p>
        </w:tc>
        <w:tc>
          <w:tcPr>
            <w:tcW w:w="80" w:type="dxa"/>
            <w:vAlign w:val="bottom"/>
            <w:shd w:val="clear" w:color="auto" w:fill="CFF0FC"/>
          </w:tcPr>
          <w:p>
            <w:pPr>
              <w:spacing w:after="0"/>
              <w:rPr>
                <w:sz w:val="21"/>
                <w:szCs w:val="21"/>
                <w:color w:val="auto"/>
              </w:rPr>
            </w:pPr>
          </w:p>
        </w:tc>
        <w:tc>
          <w:tcPr>
            <w:tcW w:w="260" w:type="dxa"/>
            <w:vAlign w:val="bottom"/>
            <w:tcBorders>
              <w:bottom w:val="single" w:sz="8" w:color="auto"/>
            </w:tcBorders>
            <w:shd w:val="clear" w:color="auto" w:fill="CFF0FC"/>
          </w:tcPr>
          <w:p>
            <w:pPr>
              <w:spacing w:after="0"/>
              <w:rPr>
                <w:sz w:val="21"/>
                <w:szCs w:val="21"/>
                <w:color w:val="auto"/>
              </w:rPr>
            </w:pPr>
          </w:p>
        </w:tc>
        <w:tc>
          <w:tcPr>
            <w:tcW w:w="920" w:type="dxa"/>
            <w:vAlign w:val="bottom"/>
            <w:tcBorders>
              <w:bottom w:val="single" w:sz="8" w:color="auto"/>
            </w:tcBorders>
            <w:shd w:val="clear" w:color="auto" w:fill="CFF0FC"/>
          </w:tcPr>
          <w:p>
            <w:pPr>
              <w:jc w:val="right"/>
              <w:spacing w:after="0"/>
              <w:rPr>
                <w:sz w:val="20"/>
                <w:szCs w:val="20"/>
                <w:color w:val="auto"/>
              </w:rPr>
            </w:pPr>
            <w:r>
              <w:rPr>
                <w:rFonts w:ascii="Times New Roman" w:cs="Times New Roman" w:eastAsia="Times New Roman" w:hAnsi="Times New Roman"/>
                <w:sz w:val="20"/>
                <w:szCs w:val="20"/>
                <w:color w:val="auto"/>
              </w:rPr>
              <w:t>3,230</w:t>
            </w:r>
          </w:p>
        </w:tc>
        <w:tc>
          <w:tcPr>
            <w:tcW w:w="180" w:type="dxa"/>
            <w:vAlign w:val="bottom"/>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277"/>
        </w:trPr>
        <w:tc>
          <w:tcPr>
            <w:tcW w:w="5620" w:type="dxa"/>
            <w:vAlign w:val="bottom"/>
            <w:tcBorders>
              <w:bottom w:val="single" w:sz="8" w:color="CFF0FC"/>
            </w:tcBorders>
          </w:tcPr>
          <w:p>
            <w:pPr>
              <w:ind w:left="500"/>
              <w:spacing w:after="0"/>
              <w:rPr>
                <w:sz w:val="20"/>
                <w:szCs w:val="20"/>
                <w:color w:val="auto"/>
              </w:rPr>
            </w:pPr>
            <w:r>
              <w:rPr>
                <w:rFonts w:ascii="Times New Roman" w:cs="Times New Roman" w:eastAsia="Times New Roman" w:hAnsi="Times New Roman"/>
                <w:sz w:val="20"/>
                <w:szCs w:val="20"/>
                <w:color w:val="auto"/>
              </w:rPr>
              <w:t>EBITDA</w:t>
            </w:r>
          </w:p>
        </w:tc>
        <w:tc>
          <w:tcPr>
            <w:tcW w:w="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color w:val="auto"/>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11,617</w:t>
            </w:r>
          </w:p>
        </w:tc>
        <w:tc>
          <w:tcPr>
            <w:tcW w:w="240" w:type="dxa"/>
            <w:vAlign w:val="bottom"/>
            <w:tcBorders>
              <w:bottom w:val="single" w:sz="8" w:color="CFF0FC"/>
            </w:tcBorders>
          </w:tcPr>
          <w:p>
            <w:pPr>
              <w:spacing w:after="0"/>
              <w:rPr>
                <w:sz w:val="24"/>
                <w:szCs w:val="24"/>
                <w:color w:val="auto"/>
              </w:rPr>
            </w:pPr>
          </w:p>
        </w:tc>
        <w:tc>
          <w:tcPr>
            <w:tcW w:w="80" w:type="dxa"/>
            <w:vAlign w:val="bottom"/>
            <w:tcBorders>
              <w:bottom w:val="single" w:sz="8" w:color="CFF0FC"/>
            </w:tcBorders>
          </w:tcPr>
          <w:p>
            <w:pPr>
              <w:spacing w:after="0"/>
              <w:rPr>
                <w:sz w:val="24"/>
                <w:szCs w:val="24"/>
                <w:color w:val="auto"/>
              </w:rPr>
            </w:pPr>
          </w:p>
        </w:tc>
        <w:tc>
          <w:tcPr>
            <w:tcW w:w="240" w:type="dxa"/>
            <w:vAlign w:val="bottom"/>
            <w:tcBorders>
              <w:bottom w:val="single" w:sz="8" w:color="auto"/>
            </w:tcBorders>
          </w:tcPr>
          <w:p>
            <w:pPr>
              <w:jc w:val="right"/>
              <w:ind w:right="45"/>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38,259</w:t>
            </w:r>
          </w:p>
        </w:tc>
        <w:tc>
          <w:tcPr>
            <w:tcW w:w="240" w:type="dxa"/>
            <w:vAlign w:val="bottom"/>
            <w:tcBorders>
              <w:bottom w:val="single" w:sz="8" w:color="CFF0FC"/>
            </w:tcBorders>
          </w:tcPr>
          <w:p>
            <w:pPr>
              <w:spacing w:after="0"/>
              <w:rPr>
                <w:sz w:val="24"/>
                <w:szCs w:val="24"/>
                <w:color w:val="auto"/>
              </w:rPr>
            </w:pPr>
          </w:p>
        </w:tc>
        <w:tc>
          <w:tcPr>
            <w:tcW w:w="80" w:type="dxa"/>
            <w:vAlign w:val="bottom"/>
            <w:tcBorders>
              <w:bottom w:val="single" w:sz="8" w:color="CFF0FC"/>
            </w:tcBorders>
          </w:tcPr>
          <w:p>
            <w:pPr>
              <w:spacing w:after="0"/>
              <w:rPr>
                <w:sz w:val="24"/>
                <w:szCs w:val="24"/>
                <w:color w:val="auto"/>
              </w:rPr>
            </w:pPr>
          </w:p>
        </w:tc>
        <w:tc>
          <w:tcPr>
            <w:tcW w:w="220" w:type="dxa"/>
            <w:vAlign w:val="bottom"/>
            <w:tcBorders>
              <w:bottom w:val="single" w:sz="8" w:color="auto"/>
            </w:tcBorders>
          </w:tcPr>
          <w:p>
            <w:pPr>
              <w:jc w:val="right"/>
              <w:ind w:right="25"/>
              <w:spacing w:after="0"/>
              <w:rPr>
                <w:sz w:val="20"/>
                <w:szCs w:val="20"/>
                <w:color w:val="auto"/>
              </w:rPr>
            </w:pPr>
            <w:r>
              <w:rPr>
                <w:rFonts w:ascii="Times New Roman" w:cs="Times New Roman" w:eastAsia="Times New Roman" w:hAnsi="Times New Roman"/>
                <w:sz w:val="20"/>
                <w:szCs w:val="20"/>
                <w:color w:val="auto"/>
                <w:w w:val="79"/>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104,228</w:t>
            </w:r>
          </w:p>
        </w:tc>
        <w:tc>
          <w:tcPr>
            <w:tcW w:w="240" w:type="dxa"/>
            <w:vAlign w:val="bottom"/>
            <w:tcBorders>
              <w:bottom w:val="single" w:sz="8" w:color="CFF0FC"/>
            </w:tcBorders>
          </w:tcPr>
          <w:p>
            <w:pPr>
              <w:spacing w:after="0"/>
              <w:rPr>
                <w:sz w:val="24"/>
                <w:szCs w:val="24"/>
                <w:color w:val="auto"/>
              </w:rPr>
            </w:pPr>
          </w:p>
        </w:tc>
        <w:tc>
          <w:tcPr>
            <w:tcW w:w="80" w:type="dxa"/>
            <w:vAlign w:val="bottom"/>
            <w:tcBorders>
              <w:bottom w:val="single" w:sz="8" w:color="CFF0FC"/>
            </w:tcBorders>
          </w:tcPr>
          <w:p>
            <w:pPr>
              <w:spacing w:after="0"/>
              <w:rPr>
                <w:sz w:val="24"/>
                <w:szCs w:val="24"/>
                <w:color w:val="auto"/>
              </w:rPr>
            </w:pPr>
          </w:p>
        </w:tc>
        <w:tc>
          <w:tcPr>
            <w:tcW w:w="260" w:type="dxa"/>
            <w:vAlign w:val="bottom"/>
            <w:tcBorders>
              <w:bottom w:val="single" w:sz="8" w:color="auto"/>
            </w:tcBorders>
          </w:tcPr>
          <w:p>
            <w:pPr>
              <w:jc w:val="right"/>
              <w:ind w:right="65"/>
              <w:spacing w:after="0"/>
              <w:rPr>
                <w:sz w:val="20"/>
                <w:szCs w:val="20"/>
                <w:color w:val="auto"/>
              </w:rPr>
            </w:pPr>
            <w:r>
              <w:rPr>
                <w:rFonts w:ascii="Times New Roman" w:cs="Times New Roman" w:eastAsia="Times New Roman" w:hAnsi="Times New Roman"/>
                <w:sz w:val="20"/>
                <w:szCs w:val="20"/>
                <w:color w:val="auto"/>
                <w:w w:val="79"/>
              </w:rPr>
              <w:t>$</w:t>
            </w:r>
          </w:p>
        </w:tc>
        <w:tc>
          <w:tcPr>
            <w:tcW w:w="9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107,022</w:t>
            </w:r>
          </w:p>
        </w:tc>
        <w:tc>
          <w:tcPr>
            <w:tcW w:w="180" w:type="dxa"/>
            <w:vAlign w:val="bottom"/>
            <w:tcBorders>
              <w:bottom w:val="single" w:sz="8" w:color="CFF0FC"/>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56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20" w:type="dxa"/>
            <w:vAlign w:val="bottom"/>
            <w:shd w:val="clear" w:color="auto" w:fill="CFF0FC"/>
          </w:tcPr>
          <w:p>
            <w:pPr>
              <w:spacing w:after="0"/>
              <w:rPr>
                <w:sz w:val="19"/>
                <w:szCs w:val="19"/>
                <w:color w:val="auto"/>
              </w:rPr>
            </w:pPr>
          </w:p>
        </w:tc>
        <w:tc>
          <w:tcPr>
            <w:tcW w:w="940" w:type="dxa"/>
            <w:vAlign w:val="bottom"/>
            <w:shd w:val="clear" w:color="auto" w:fill="CFF0FC"/>
          </w:tcPr>
          <w:p>
            <w:pPr>
              <w:spacing w:after="0"/>
              <w:rPr>
                <w:sz w:val="19"/>
                <w:szCs w:val="19"/>
                <w:color w:val="auto"/>
              </w:rPr>
            </w:pPr>
          </w:p>
        </w:tc>
        <w:tc>
          <w:tcPr>
            <w:tcW w:w="240" w:type="dxa"/>
            <w:vAlign w:val="bottom"/>
            <w:shd w:val="clear" w:color="auto" w:fill="CFF0FC"/>
          </w:tcPr>
          <w:p>
            <w:pPr>
              <w:spacing w:after="0"/>
              <w:rPr>
                <w:sz w:val="19"/>
                <w:szCs w:val="19"/>
                <w:color w:val="auto"/>
              </w:rPr>
            </w:pPr>
          </w:p>
        </w:tc>
        <w:tc>
          <w:tcPr>
            <w:tcW w:w="80" w:type="dxa"/>
            <w:vAlign w:val="bottom"/>
            <w:shd w:val="clear" w:color="auto" w:fill="CFF0FC"/>
          </w:tcPr>
          <w:p>
            <w:pPr>
              <w:spacing w:after="0"/>
              <w:rPr>
                <w:sz w:val="19"/>
                <w:szCs w:val="19"/>
                <w:color w:val="auto"/>
              </w:rPr>
            </w:pPr>
          </w:p>
        </w:tc>
        <w:tc>
          <w:tcPr>
            <w:tcW w:w="260" w:type="dxa"/>
            <w:vAlign w:val="bottom"/>
            <w:shd w:val="clear" w:color="auto" w:fill="CFF0FC"/>
          </w:tcPr>
          <w:p>
            <w:pPr>
              <w:spacing w:after="0"/>
              <w:rPr>
                <w:sz w:val="19"/>
                <w:szCs w:val="19"/>
                <w:color w:val="auto"/>
              </w:rPr>
            </w:pPr>
          </w:p>
        </w:tc>
        <w:tc>
          <w:tcPr>
            <w:tcW w:w="920" w:type="dxa"/>
            <w:vAlign w:val="bottom"/>
            <w:shd w:val="clear" w:color="auto" w:fill="CFF0FC"/>
          </w:tcPr>
          <w:p>
            <w:pPr>
              <w:spacing w:after="0"/>
              <w:rPr>
                <w:sz w:val="19"/>
                <w:szCs w:val="19"/>
                <w:color w:val="auto"/>
              </w:rPr>
            </w:pPr>
          </w:p>
        </w:tc>
        <w:tc>
          <w:tcPr>
            <w:tcW w:w="180" w:type="dxa"/>
            <w:vAlign w:val="bottom"/>
            <w:shd w:val="clear" w:color="auto" w:fill="CFF0FC"/>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5620" w:type="dxa"/>
            <w:vAlign w:val="bottom"/>
          </w:tcPr>
          <w:p>
            <w:pPr>
              <w:ind w:left="260"/>
              <w:spacing w:after="0"/>
              <w:rPr>
                <w:sz w:val="20"/>
                <w:szCs w:val="20"/>
                <w:color w:val="auto"/>
              </w:rPr>
            </w:pPr>
            <w:r>
              <w:rPr>
                <w:rFonts w:ascii="Times New Roman" w:cs="Times New Roman" w:eastAsia="Times New Roman" w:hAnsi="Times New Roman"/>
                <w:sz w:val="20"/>
                <w:szCs w:val="20"/>
                <w:color w:val="auto"/>
              </w:rPr>
              <w:t>EBITDA margin (a)</w:t>
            </w:r>
          </w:p>
        </w:tc>
        <w:tc>
          <w:tcPr>
            <w:tcW w:w="240" w:type="dxa"/>
            <w:vAlign w:val="bottom"/>
          </w:tcPr>
          <w:p>
            <w:pPr>
              <w:spacing w:after="0"/>
              <w:rPr>
                <w:sz w:val="22"/>
                <w:szCs w:val="22"/>
                <w:color w:val="auto"/>
              </w:rPr>
            </w:pPr>
          </w:p>
        </w:tc>
        <w:tc>
          <w:tcPr>
            <w:tcW w:w="116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3.1%</w:t>
            </w:r>
          </w:p>
        </w:tc>
        <w:tc>
          <w:tcPr>
            <w:tcW w:w="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6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10.2%</w:t>
            </w: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9.2%</w:t>
            </w:r>
          </w:p>
        </w:tc>
        <w:tc>
          <w:tcPr>
            <w:tcW w:w="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10.0%</w:t>
            </w:r>
          </w:p>
        </w:tc>
        <w:tc>
          <w:tcPr>
            <w:tcW w:w="0" w:type="dxa"/>
            <w:vAlign w:val="bottom"/>
          </w:tcPr>
          <w:p>
            <w:pPr>
              <w:spacing w:after="0"/>
              <w:rPr>
                <w:sz w:val="1"/>
                <w:szCs w:val="1"/>
                <w:color w:val="auto"/>
              </w:rPr>
            </w:pPr>
          </w:p>
        </w:tc>
      </w:tr>
    </w:tbl>
    <w:p>
      <w:pPr>
        <w:spacing w:after="0" w:line="178" w:lineRule="exact"/>
        <w:rPr>
          <w:sz w:val="20"/>
          <w:szCs w:val="20"/>
          <w:color w:val="auto"/>
        </w:rPr>
      </w:pPr>
    </w:p>
    <w:p>
      <w:pPr>
        <w:ind w:left="460" w:hanging="452"/>
        <w:spacing w:after="0"/>
        <w:tabs>
          <w:tab w:leader="none" w:pos="46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EBITDA margin is computed by dividing EBITDA by total operating revenues for each of the periods indicated.</w:t>
      </w:r>
    </w:p>
    <w:p>
      <w:pPr>
        <w:spacing w:after="0" w:line="216" w:lineRule="exact"/>
        <w:rPr>
          <w:sz w:val="20"/>
          <w:szCs w:val="20"/>
          <w:color w:val="auto"/>
        </w:rPr>
      </w:pPr>
    </w:p>
    <w:p>
      <w:pPr>
        <w:ind w:right="20"/>
        <w:spacing w:after="0" w:line="269" w:lineRule="auto"/>
        <w:rPr>
          <w:sz w:val="20"/>
          <w:szCs w:val="20"/>
          <w:color w:val="auto"/>
        </w:rPr>
      </w:pPr>
      <w:r>
        <w:rPr>
          <w:rFonts w:ascii="Times New Roman" w:cs="Times New Roman" w:eastAsia="Times New Roman" w:hAnsi="Times New Roman"/>
          <w:sz w:val="20"/>
          <w:szCs w:val="20"/>
          <w:color w:val="auto"/>
        </w:rPr>
        <w:t>We present EBITDA and EBITDA margin because we believe they assist investors and analysts in comparing our performance across reporting periods on a consistent basis by excluding items that we do not believe are indicative of our core operating performance.</w:t>
      </w:r>
    </w:p>
    <w:p>
      <w:pPr>
        <w:spacing w:after="0" w:line="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EBITDA has limitations as an analytical tool. Some of these limitations are:</w:t>
      </w:r>
    </w:p>
    <w:p>
      <w:pPr>
        <w:spacing w:after="0" w:line="108" w:lineRule="exact"/>
        <w:rPr>
          <w:sz w:val="20"/>
          <w:szCs w:val="20"/>
          <w:color w:val="auto"/>
        </w:rPr>
      </w:pPr>
    </w:p>
    <w:p>
      <w:pPr>
        <w:ind w:left="460" w:hanging="452"/>
        <w:spacing w:after="0"/>
        <w:tabs>
          <w:tab w:leader="none" w:pos="4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EBITDA does not reflect our cash expenditures, or future requirements, for capital expenditures or contractual commitments;</w:t>
      </w:r>
    </w:p>
    <w:p>
      <w:pPr>
        <w:spacing w:after="0" w:line="107" w:lineRule="exact"/>
        <w:rPr>
          <w:rFonts w:ascii="Times New Roman" w:cs="Times New Roman" w:eastAsia="Times New Roman" w:hAnsi="Times New Roman"/>
          <w:sz w:val="20"/>
          <w:szCs w:val="20"/>
          <w:color w:val="auto"/>
        </w:rPr>
      </w:pPr>
    </w:p>
    <w:p>
      <w:pPr>
        <w:ind w:left="460" w:hanging="452"/>
        <w:spacing w:after="0"/>
        <w:tabs>
          <w:tab w:leader="none" w:pos="4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EBITDA does not reflect changes in, or cash requirements for, our working capital needs;</w:t>
      </w:r>
    </w:p>
    <w:p>
      <w:pPr>
        <w:spacing w:after="0" w:line="107" w:lineRule="exact"/>
        <w:rPr>
          <w:rFonts w:ascii="Times New Roman" w:cs="Times New Roman" w:eastAsia="Times New Roman" w:hAnsi="Times New Roman"/>
          <w:sz w:val="20"/>
          <w:szCs w:val="20"/>
          <w:color w:val="auto"/>
        </w:rPr>
      </w:pPr>
    </w:p>
    <w:p>
      <w:pPr>
        <w:ind w:left="460" w:right="100" w:hanging="452"/>
        <w:spacing w:after="0" w:line="269" w:lineRule="auto"/>
        <w:tabs>
          <w:tab w:leader="none" w:pos="4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EBITDA does not reflect the significant interest expense, or the cash requirements necessary to service interest or principal payments, on our debts;</w:t>
      </w:r>
    </w:p>
    <w:p>
      <w:pPr>
        <w:spacing w:after="0" w:line="51" w:lineRule="exact"/>
        <w:rPr>
          <w:rFonts w:ascii="Times New Roman" w:cs="Times New Roman" w:eastAsia="Times New Roman" w:hAnsi="Times New Roman"/>
          <w:sz w:val="20"/>
          <w:szCs w:val="20"/>
          <w:color w:val="auto"/>
        </w:rPr>
      </w:pPr>
    </w:p>
    <w:p>
      <w:pPr>
        <w:ind w:left="460" w:right="20" w:hanging="452"/>
        <w:spacing w:after="0" w:line="269" w:lineRule="auto"/>
        <w:tabs>
          <w:tab w:leader="none" w:pos="4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Although depreciation and amortization are non-cash charges, the assets being depreciated and amortized will often have to be replaced in the future, and EBITDA does not reflect any cash requirements for such replacements; and</w:t>
      </w:r>
    </w:p>
    <w:p>
      <w:pPr>
        <w:spacing w:after="0" w:line="51" w:lineRule="exact"/>
        <w:rPr>
          <w:rFonts w:ascii="Times New Roman" w:cs="Times New Roman" w:eastAsia="Times New Roman" w:hAnsi="Times New Roman"/>
          <w:sz w:val="20"/>
          <w:szCs w:val="20"/>
          <w:color w:val="auto"/>
        </w:rPr>
      </w:pPr>
    </w:p>
    <w:p>
      <w:pPr>
        <w:ind w:left="460" w:hanging="452"/>
        <w:spacing w:after="0"/>
        <w:tabs>
          <w:tab w:leader="none" w:pos="46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Other companies in our industry may calculate EBITDA differently than we do, limiting its usefulness as a comparative measure.</w:t>
      </w:r>
    </w:p>
    <w:p>
      <w:pPr>
        <w:spacing w:after="0" w:line="10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20"/>
          <w:szCs w:val="20"/>
          <w:color w:val="auto"/>
        </w:rPr>
        <w:t>Because of these limitations, EBITDA and EBITDA margin should not be considered in isolation or as a substitute for performance measures calculated in accordance with GAAP. We compensate for these limitations by relying primarily on our GAAP results and only supplementally on EBITDA and EBITDA margin.</w:t>
      </w:r>
    </w:p>
    <w:sectPr>
      <w:pgSz w:w="11900" w:h="16838" w:orient="portrait"/>
      <w:cols w:equalWidth="0" w:num="1">
        <w:col w:w="11420"/>
      </w:cols>
      <w:pgMar w:left="240" w:top="11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2019-12-28T05:10:59Z</dcterms:created>
  <dcterms:modified xsi:type="dcterms:W3CDTF">2019-12-28T05:10:59Z</dcterms:modified>
</cp:coreProperties>
</file>